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color w:val="auto"/>
          <w:sz w:val="30"/>
          <w:szCs w:val="30"/>
          <w:lang w:val="en-US"/>
        </w:rPr>
      </w:pPr>
      <w:r>
        <w:rPr>
          <w:rFonts w:hint="eastAsia" w:asciiTheme="minorEastAsia" w:hAnsiTheme="minorEastAsia" w:eastAsiaTheme="minorEastAsia" w:cstheme="minorEastAsia"/>
          <w:b/>
          <w:bCs/>
          <w:color w:val="auto"/>
          <w:kern w:val="0"/>
          <w:sz w:val="30"/>
          <w:szCs w:val="30"/>
          <w:lang w:val="en-US" w:eastAsia="zh-CN" w:bidi="ar"/>
        </w:rPr>
        <w:t>2024年沪陕高速公路信南段、商南高速公路南阳北绕城段路面养护工程设计</w:t>
      </w:r>
      <w:r>
        <w:rPr>
          <w:rFonts w:hint="eastAsia" w:asciiTheme="minorEastAsia" w:hAnsiTheme="minorEastAsia" w:cstheme="minorEastAsia"/>
          <w:b/>
          <w:bCs/>
          <w:color w:val="auto"/>
          <w:kern w:val="0"/>
          <w:sz w:val="30"/>
          <w:szCs w:val="30"/>
          <w:lang w:val="en-US" w:eastAsia="zh-CN" w:bidi="ar"/>
        </w:rPr>
        <w:t>招标中标候选人公示</w:t>
      </w:r>
    </w:p>
    <w:p>
      <w:pPr>
        <w:rPr>
          <w:color w:val="auto"/>
        </w:rPr>
      </w:pPr>
    </w:p>
    <w:tbl>
      <w:tblPr>
        <w:tblStyle w:val="3"/>
        <w:tblW w:w="10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298"/>
        <w:gridCol w:w="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2024年沪陕高速公路信南段、商南高速公路南阳北绕城段路面养护工程设计（招标编号为豫工程20240169001）于2024-04-22在河南省公共资源交易中心依法进行公开开标、评标后，评标委员会按照招标文件规定的评标标准和方法进行了评审，现将本次招标的中标候选人公示如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一、中标候选人</w:t>
            </w:r>
            <w:r>
              <w:rPr>
                <w:rFonts w:hint="eastAsia" w:asciiTheme="minorEastAsia" w:hAnsiTheme="minorEastAsia" w:eastAsiaTheme="minorEastAsia" w:cstheme="minorEastAsia"/>
                <w:color w:val="auto"/>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3"/>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655"/>
              <w:gridCol w:w="2655"/>
              <w:gridCol w:w="2655"/>
              <w:gridCol w:w="26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rPr>
                      <w:rFonts w:hint="eastAsia" w:asciiTheme="minorEastAsia" w:hAnsiTheme="minorEastAsia" w:eastAsiaTheme="minorEastAsia" w:cstheme="minorEastAsia"/>
                      <w:color w:val="auto"/>
                      <w:sz w:val="24"/>
                      <w:szCs w:val="24"/>
                    </w:rPr>
                  </w:pPr>
                </w:p>
              </w:tc>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36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第一名</w:t>
                  </w:r>
                </w:p>
              </w:tc>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36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第二名</w:t>
                  </w:r>
                </w:p>
              </w:tc>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36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36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中标候选人</w:t>
                  </w:r>
                </w:p>
              </w:tc>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36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河南高速公路设计咨询有限公司</w:t>
                  </w:r>
                </w:p>
              </w:tc>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36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华设设计集团股份有限公司</w:t>
                  </w:r>
                </w:p>
              </w:tc>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36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中交第一公路勘察设计研究院有限公司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36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投标报价(元)/投标费率(%) </w:t>
                  </w:r>
                </w:p>
              </w:tc>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36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98.650</w:t>
                  </w:r>
                </w:p>
              </w:tc>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36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99.280</w:t>
                  </w:r>
                </w:p>
              </w:tc>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36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99.000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36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36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韩功学</w:t>
                  </w:r>
                </w:p>
              </w:tc>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36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周兴顺</w:t>
                  </w:r>
                </w:p>
              </w:tc>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36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王敏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36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质量</w:t>
                  </w:r>
                </w:p>
              </w:tc>
              <w:tc>
                <w:tcPr>
                  <w:tcW w:w="2340" w:type="dxa"/>
                  <w:shd w:val="clear" w:color="auto" w:fill="auto"/>
                  <w:tcMar>
                    <w:top w:w="0" w:type="dxa"/>
                    <w:left w:w="0" w:type="dxa"/>
                    <w:bottom w:w="0" w:type="dxa"/>
                    <w:right w:w="0" w:type="dxa"/>
                  </w:tcMar>
                  <w:vAlign w:val="top"/>
                </w:tcPr>
                <w:p>
                  <w:pPr>
                    <w:rPr>
                      <w:rFonts w:hint="eastAsia" w:asciiTheme="minorEastAsia" w:hAnsiTheme="minorEastAsia" w:eastAsiaTheme="minorEastAsia" w:cstheme="minorEastAsia"/>
                      <w:color w:val="auto"/>
                      <w:sz w:val="24"/>
                      <w:szCs w:val="24"/>
                    </w:rPr>
                  </w:pPr>
                </w:p>
              </w:tc>
              <w:tc>
                <w:tcPr>
                  <w:tcW w:w="2340" w:type="dxa"/>
                  <w:shd w:val="clear" w:color="auto" w:fill="auto"/>
                  <w:tcMar>
                    <w:top w:w="0" w:type="dxa"/>
                    <w:left w:w="0" w:type="dxa"/>
                    <w:bottom w:w="0" w:type="dxa"/>
                    <w:right w:w="0" w:type="dxa"/>
                  </w:tcMar>
                  <w:vAlign w:val="top"/>
                </w:tcPr>
                <w:p>
                  <w:pPr>
                    <w:rPr>
                      <w:rFonts w:hint="eastAsia" w:asciiTheme="minorEastAsia" w:hAnsiTheme="minorEastAsia" w:eastAsiaTheme="minorEastAsia" w:cstheme="minorEastAsia"/>
                      <w:color w:val="auto"/>
                      <w:sz w:val="24"/>
                      <w:szCs w:val="24"/>
                    </w:rPr>
                  </w:pPr>
                </w:p>
              </w:tc>
              <w:tc>
                <w:tcPr>
                  <w:tcW w:w="2340" w:type="dxa"/>
                  <w:shd w:val="clear" w:color="auto" w:fill="auto"/>
                  <w:tcMar>
                    <w:top w:w="0" w:type="dxa"/>
                    <w:left w:w="0" w:type="dxa"/>
                    <w:bottom w:w="0" w:type="dxa"/>
                    <w:right w:w="0" w:type="dxa"/>
                  </w:tcMar>
                  <w:vAlign w:val="top"/>
                </w:tcPr>
                <w:p>
                  <w:pPr>
                    <w:rPr>
                      <w:rFonts w:hint="eastAsia" w:asciiTheme="minorEastAsia" w:hAnsiTheme="minorEastAsia" w:eastAsiaTheme="minorEastAsia" w:cstheme="minorEastAsia"/>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88" w:type="dxa"/>
                  <w:shd w:val="clear" w:color="auto" w:fill="auto"/>
                  <w:tcMar>
                    <w:top w:w="0" w:type="dxa"/>
                    <w:left w:w="0" w:type="dxa"/>
                    <w:bottom w:w="0" w:type="dxa"/>
                    <w:right w:w="0" w:type="dxa"/>
                  </w:tcMar>
                  <w:vAlign w:val="top"/>
                </w:tcPr>
                <w:p>
                  <w:pPr>
                    <w:pStyle w:val="2"/>
                    <w:keepNext w:val="0"/>
                    <w:keepLines w:val="0"/>
                    <w:widowControl/>
                    <w:suppressLineNumbers w:val="0"/>
                    <w:spacing w:line="36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工期（交货期）</w:t>
                  </w:r>
                </w:p>
              </w:tc>
              <w:tc>
                <w:tcPr>
                  <w:tcW w:w="2388" w:type="dxa"/>
                  <w:shd w:val="clear" w:color="auto" w:fill="auto"/>
                  <w:tcMar>
                    <w:top w:w="0" w:type="dxa"/>
                    <w:left w:w="0" w:type="dxa"/>
                    <w:bottom w:w="0" w:type="dxa"/>
                    <w:right w:w="0" w:type="dxa"/>
                  </w:tcMar>
                  <w:vAlign w:val="top"/>
                </w:tcPr>
                <w:p>
                  <w:pPr>
                    <w:rPr>
                      <w:rFonts w:hint="eastAsia" w:asciiTheme="minorEastAsia" w:hAnsiTheme="minorEastAsia" w:eastAsiaTheme="minorEastAsia" w:cstheme="minorEastAsia"/>
                      <w:color w:val="auto"/>
                      <w:sz w:val="24"/>
                      <w:szCs w:val="24"/>
                    </w:rPr>
                  </w:pPr>
                </w:p>
              </w:tc>
              <w:tc>
                <w:tcPr>
                  <w:tcW w:w="2388" w:type="dxa"/>
                  <w:shd w:val="clear" w:color="auto" w:fill="auto"/>
                  <w:tcMar>
                    <w:top w:w="0" w:type="dxa"/>
                    <w:left w:w="0" w:type="dxa"/>
                    <w:bottom w:w="0" w:type="dxa"/>
                    <w:right w:w="0" w:type="dxa"/>
                  </w:tcMar>
                  <w:vAlign w:val="top"/>
                </w:tcPr>
                <w:p>
                  <w:pPr>
                    <w:rPr>
                      <w:rFonts w:hint="eastAsia" w:asciiTheme="minorEastAsia" w:hAnsiTheme="minorEastAsia" w:eastAsiaTheme="minorEastAsia" w:cstheme="minorEastAsia"/>
                      <w:color w:val="auto"/>
                      <w:sz w:val="24"/>
                      <w:szCs w:val="24"/>
                    </w:rPr>
                  </w:pPr>
                </w:p>
              </w:tc>
              <w:tc>
                <w:tcPr>
                  <w:tcW w:w="2388" w:type="dxa"/>
                  <w:shd w:val="clear" w:color="auto" w:fill="auto"/>
                  <w:tcMar>
                    <w:top w:w="0" w:type="dxa"/>
                    <w:left w:w="0" w:type="dxa"/>
                    <w:bottom w:w="0" w:type="dxa"/>
                    <w:right w:w="0" w:type="dxa"/>
                  </w:tcMar>
                  <w:vAlign w:val="top"/>
                </w:tcPr>
                <w:p>
                  <w:pPr>
                    <w:rPr>
                      <w:rFonts w:hint="eastAsia" w:asciiTheme="minorEastAsia" w:hAnsiTheme="minorEastAsia" w:eastAsiaTheme="minorEastAsia" w:cstheme="minorEastAsia"/>
                      <w:color w:val="auto"/>
                      <w:sz w:val="24"/>
                      <w:szCs w:val="24"/>
                    </w:rPr>
                  </w:pPr>
                </w:p>
              </w:tc>
            </w:tr>
          </w:tbl>
          <w:p>
            <w:pPr>
              <w:spacing w:before="0" w:beforeAutospacing="0" w:after="0" w:afterAutospacing="0" w:line="360" w:lineRule="atLeast"/>
              <w:ind w:left="0" w:right="0"/>
              <w:rPr>
                <w:rFonts w:hint="eastAsia" w:asciiTheme="minorEastAsia" w:hAnsiTheme="minorEastAsia" w:eastAsiaTheme="minorEastAsia" w:cs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1.1、中标候选人项目管理人员情况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3"/>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6"/>
              <w:gridCol w:w="1983"/>
              <w:gridCol w:w="1668"/>
              <w:gridCol w:w="515"/>
              <w:gridCol w:w="515"/>
              <w:gridCol w:w="609"/>
              <w:gridCol w:w="2176"/>
              <w:gridCol w:w="962"/>
              <w:gridCol w:w="19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序号</w:t>
                  </w:r>
                </w:p>
              </w:tc>
              <w:tc>
                <w:tcPr>
                  <w:tcW w:w="108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标段编号</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单位名称</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姓名</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人员类别</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职务</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身份证号码</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职业资格证书</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河南高速公路设计咨询有限公司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韩功学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项目负责人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510***********1513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正高级工程师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A201909010100051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华设设计集团股份有限公司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周兴顺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项目负责人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320***********0513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研究员级高级工程师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07110021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中交第一公路勘察设计研究院有限公司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王敏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项目负责人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610***********0493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正高级工程师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1191514 </w:t>
                  </w:r>
                </w:p>
              </w:tc>
            </w:tr>
          </w:tbl>
          <w:p>
            <w:pPr>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1.2、中标候选人企业业绩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3"/>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6"/>
              <w:gridCol w:w="1842"/>
              <w:gridCol w:w="975"/>
              <w:gridCol w:w="3724"/>
              <w:gridCol w:w="1710"/>
              <w:gridCol w:w="777"/>
              <w:gridCol w:w="1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5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序号</w:t>
                  </w:r>
                </w:p>
              </w:tc>
              <w:tc>
                <w:tcPr>
                  <w:tcW w:w="184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标段编号</w:t>
                  </w:r>
                </w:p>
              </w:tc>
              <w:tc>
                <w:tcPr>
                  <w:tcW w:w="9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中标候选人名称</w:t>
                  </w:r>
                </w:p>
              </w:tc>
              <w:tc>
                <w:tcPr>
                  <w:tcW w:w="372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中标工程名称</w:t>
                  </w:r>
                </w:p>
              </w:tc>
              <w:tc>
                <w:tcPr>
                  <w:tcW w:w="171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建设单位</w:t>
                  </w:r>
                </w:p>
              </w:tc>
              <w:tc>
                <w:tcPr>
                  <w:tcW w:w="77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合同签订时间</w:t>
                  </w:r>
                </w:p>
              </w:tc>
              <w:tc>
                <w:tcPr>
                  <w:tcW w:w="133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河南高速公路设计咨询有限公司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2023年二广高速公路岭南段路面养护专项工程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河南交通投资集团有限公司南阳分公司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2023年05月04日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849905.00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河南高速公路设计咨询有限公司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2023年盐洛高速公路许扶段路面养护专项工程设计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河南交通投资集团有限公司许昌分公司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2023年05月07日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883420.00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河南高速公路设计咨询有限公司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2023年二广高速公路洛阳段路面养护专项工程勘察设计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河南交通投资集团有限公司洛阳分公司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2023年05月07日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822784.00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河南高速公路设计咨询有限公司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2023年盐洛高速公路永城段路面养护专项工程设计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河南交通投资集团有限公司商丘分公司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2023年07月27日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992737.00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河南高速公路设计咨询有限公司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2023年京港澳高速公路驻信段K873+306-K931+610下行路面预防养护专项工程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河南交通投资集团有限公司驻马店分公司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2023年10月17日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967810.14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5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河南高速公路设计咨询有限公司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2023年新阳高速公路路面养护专项工程设计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河南交通投资集团有限公司驻马店分公司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2023年07月03日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989300.00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5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河南高速公路设计咨询有限公司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2023年大广高速公路周口段匝道路面养护专项工程设计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河南交通投资集团有限公司周口分公司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2023年04月25日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852872.98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5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8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华设设计集团股份有限公司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2022年郑云高速公路路面预防养护工程勘察设计业绩证明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河南高速公路发展有限责任公司养护专项工程项目部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2022年07月18日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1121508.00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5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9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华设设计集团股份有限公司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贵州高速公路集团有限公司营运事业部养护工程勘察设计及设计咨询服务KCSJ-1标段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贵州高速公路集团有限公司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2021年07月28日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4200000.00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5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华设设计集团股份有限公司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2021年度公司所辖高速公路桥梁维修加固工程设计项目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江苏广靖锡澄高速公路有限责任公司、江苏扬子大桥股份有限公司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2021年05月31日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1976000.00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5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华设设计集团股份有限公司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宁夏交投高速公路管理有限公司2021~2022年高速公路养护工程勘察设计服务项目第2标段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宁夏交投高速公路管理有限公司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2021年04月30日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4224273.00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5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华设设计集团股份有限公司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连霍高速公路郑洛段北半幅路面大修工程KCSJ-2标段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河南省高速公路发展有限责任公司养护专项工程项目部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2021年10月26日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18113676.00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5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华设设计集团股份有限公司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2022年大广高速公路周口段K2071+662-K2134+678路侧波形梁护栏更换专项养护工程勘察设计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河南高速公路发展有限责任公司养护专项工程项目部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2022年07月18日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1983176.00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5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中交第一公路勘察设计研究院有限公司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2021-2022 年度湖南省高速公路养护工程YHSJ4标段勘察设计（衡阳）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湖南省高速公路集团有限公司衡阳分公司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2021年07月22日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4480804.59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5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中交第一公路勘察设计研究院有限公司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2021-2022 年度湖南省高速公路养护工程YHSJ4标段勘察设计（郴州）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湖南省高速公路集团有限公司郴州分公司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2021年07月21日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3087915.00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w:t>
                  </w:r>
                  <w:r>
                    <w:rPr>
                      <w:rFonts w:hint="eastAsia" w:asciiTheme="minorEastAsia" w:hAnsiTheme="minorEastAsia" w:cstheme="minorEastAsia"/>
                      <w:color w:val="auto"/>
                      <w:kern w:val="0"/>
                      <w:sz w:val="24"/>
                      <w:szCs w:val="24"/>
                      <w:lang w:val="en-US" w:eastAsia="zh-CN" w:bidi="ar"/>
                    </w:rPr>
                    <w:t>6</w:t>
                  </w:r>
                  <w:r>
                    <w:rPr>
                      <w:rFonts w:hint="eastAsia" w:asciiTheme="minorEastAsia" w:hAnsiTheme="minorEastAsia" w:eastAsiaTheme="minorEastAsia" w:cstheme="minorEastAsia"/>
                      <w:color w:val="auto"/>
                      <w:kern w:val="0"/>
                      <w:sz w:val="24"/>
                      <w:szCs w:val="24"/>
                      <w:lang w:val="en-US" w:eastAsia="zh-CN" w:bidi="ar"/>
                    </w:rPr>
                    <w:t xml:space="preserve">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中交第一公路勘察设计研究院有限公司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2021-2022 年度湖南省高速公路养护工程YHSJ4标段勘察设计（永州）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湖南省高速公路集团有限公司永州分公司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2021年07月23日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1878153.00 </w:t>
                  </w:r>
                </w:p>
              </w:tc>
            </w:tr>
          </w:tbl>
          <w:p>
            <w:pPr>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1.3、中标候选人项目负责人业绩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3"/>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6"/>
              <w:gridCol w:w="1825"/>
              <w:gridCol w:w="335"/>
              <w:gridCol w:w="891"/>
              <w:gridCol w:w="3666"/>
              <w:gridCol w:w="1567"/>
              <w:gridCol w:w="744"/>
              <w:gridCol w:w="1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序号</w:t>
                  </w:r>
                </w:p>
              </w:tc>
              <w:tc>
                <w:tcPr>
                  <w:tcW w:w="108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标段编号</w:t>
                  </w:r>
                </w:p>
              </w:tc>
              <w:tc>
                <w:tcPr>
                  <w:tcW w:w="72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项目负责人</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中标候选人名称</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中标工程名称</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建设单位</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合同签订时间</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韩功学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河南高速公路设计咨询有限公司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2023年二广高速公路岭南段路面养护专项工程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河南交通投资集团有限公司南阳分公司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2023年05月04日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849905.00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韩功学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河南高速公路设计咨询有限公司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2023年京港澳高速公路驻信段K873+306-K931+610下行路面预防养护专项工程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河南交通投资集团有限公司驻马店分公司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2023年10月17日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967810.14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韩功学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河南高速公路设计咨询有限公司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2023年二广高速公路洛阳段路面养护专项工程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河南交通投资集团有限公司洛阳分公司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2023年05月07日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822784.00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韩功学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河南高速公路设计咨询有限公司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2023年盐洛高速公路永城段路面养护专项工程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河南交通投资集团有限公司商丘分公司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2023年07月27日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992737.00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韩功学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河南高速公路设计咨询有限公司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2023年新阳高速公路路面养护专项工程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河南交通投资集团有限公司驻马店分公司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2023年07月03日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989300.00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韩功学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河南高速公路设计咨询有限公司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2023年大广高速公路周口段匝道路面养护专项工程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河南交通投资集团有限公司周口分公司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2023年04月25日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852872.98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韩功学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河南高速公路设计咨询有限公司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2023年盐洛高速公路许扶段路面养护专项工程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河南交通投资集团有限公司许昌分公司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2023年05月07日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883420.00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8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周兴顺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华设设计集团股份有限公司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贵州高速公路集团有限公司营运事业部养护工程勘察设计及设计咨询服务 KCSJ-1标段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贵州高速公路集团有限公司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2021年07月28日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4200000.00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9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周兴顺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华设设计集团股份有限公司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 年度公司所辖高速公路桥梁维修加固工程设计项目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江苏广靖锡澄高速公路有限责任公司、江苏扬子大桥股份有限公司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2021年05月31日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1976000.00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周兴顺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华设设计集团股份有限公司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2022 年郑云高速公路路面预防养护工程勘察设计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河南高速公路发展有限责任公司养护专项工程项目部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2022年07月18日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1121508.00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周兴顺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华设设计集团股份有限公司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2022 年大广高速公路周口 K2071+662‐K2134+678 路侧波形梁护栏更换专项养护工程勘察设计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河南高速公路发展有限责任公司养护专项工程项目部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2022年07月18日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1983176.00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周兴顺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华设设计集团股份有限公司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连霍高速公路郑洛段北半幅路面大修工程KCSJ‐2 标段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河南高速公路发展有限责任公司养护专项工程项目部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2021年10月26日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18113676.00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周兴顺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华设设计集团股份有限公司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宁夏交投高速公路管理有限公司 2021‐2022 年高速公路养护工程勘察设计服务项目第 2 标段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宁夏交投高速公路管理有限公司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2021年04月30日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4224273.00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王敏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中交第一公路勘察设计研究院有限公司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2021-2022 年度湖南省高速公路养护工程YHSJ4标段勘察设计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湖南省高速公路集团有限公司永州分公司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2021年07月23日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1878153.00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王敏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中交第一公路勘察设计研究院有限公司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2021-2022 年度湖南省高速公路养护工程YHSJ4标段勘察设计（衡阳）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湖南省高速公路集团有限公司衡阳分公司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2021年07月22日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4480804.59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王敏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中交第一公路勘察设计研究院有限公司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2021-2022 年度湖南省高速公路养护工程YHSJ4标段勘察设计（郴州）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湖南省高速公路集团有限公司郴州分公司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2021年07月21日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3087915.00 </w:t>
                  </w:r>
                </w:p>
              </w:tc>
            </w:tr>
          </w:tbl>
          <w:p>
            <w:pPr>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二、中标候选人响应招标文件要求的资格能力条件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2.1招标文件要求的资格能力条件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3"/>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6"/>
              <w:gridCol w:w="1816"/>
              <w:gridCol w:w="85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序号</w:t>
                  </w:r>
                </w:p>
              </w:tc>
              <w:tc>
                <w:tcPr>
                  <w:tcW w:w="108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标段编号</w:t>
                  </w:r>
                </w:p>
              </w:tc>
              <w:tc>
                <w:tcPr>
                  <w:tcW w:w="36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3.1 投标人必须具有国内独立法人资格，持有有效的营业执照及相应资质证书，在人员等方面具有相应的设计能力。3.1.1具备公路行业（公路）专业甲级及以上设计资质。投标人应进入交通运输部“全国公路建设市场信用信息管理系统（http：lxy.mot.gov.cn）”中的公路工程设计资质企业名录，且投标人名称和资质与该名中的相应企业名称和资质完全一致。3.1.2 标人近3年内（2021年1月1日至投标截止前一日，以初步设计或施工图设计批复时间准）独立完成过1项单项金额不低于80万元的高速公路养护工程的设计业绩。3.1.3要求投标人拟委派的项目负责人具有高级及以上技术职称，近3年内（2021月1日至投标截止前一日，以初步设计或施工图设计批复时间为准）作为项目负责担任过1项单项金额不低于80万元的高速公路养护工程的设计业绩。3.2 本次招标不接受联合体投标。3.3 与招标人存在利害关系可能影响招标公正性的单位，不得参加投标。单位负人为同一人或存在控股、管理关系的不同单位，不得参加同一标段投标，否则，相投标均无效。3.4 投标人在“（信用中国http://www.creditchina.gov.cn/）或中国执行信息开网(http://zxgk.court.gov.cn/shixin/)”被列入失信被执行人名单及在国家企业信用信息公示系统（http：//www.gsxt.gov.cn/）中被列入严重违法失信企业名 单，不得参加投标。 </w:t>
                  </w:r>
                </w:p>
              </w:tc>
            </w:tr>
          </w:tbl>
          <w:p>
            <w:pPr>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2.2中标候选人响应招标文件要求的资格能力条件情况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3"/>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61"/>
              <w:gridCol w:w="2522"/>
              <w:gridCol w:w="4171"/>
              <w:gridCol w:w="36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序号</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标段编号</w:t>
                  </w:r>
                </w:p>
              </w:tc>
              <w:tc>
                <w:tcPr>
                  <w:tcW w:w="132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单位名称</w:t>
                  </w:r>
                </w:p>
              </w:tc>
              <w:tc>
                <w:tcPr>
                  <w:tcW w:w="36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河南高速公路设计咨询有限公司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完全响应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华设设计集团股份有限公司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完全响应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豫工程20240169001001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中交第一公路勘察设计研究院有限公司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完全响应 </w:t>
                  </w:r>
                </w:p>
              </w:tc>
            </w:tr>
          </w:tbl>
          <w:p>
            <w:pPr>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三、废标情况及原因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480" w:type="dxa"/>
            <w:gridSpan w:val="2"/>
            <w:shd w:val="clear" w:color="auto" w:fill="auto"/>
            <w:tcMar>
              <w:top w:w="0" w:type="dxa"/>
              <w:left w:w="0" w:type="dxa"/>
              <w:bottom w:w="0" w:type="dxa"/>
              <w:right w:w="0" w:type="dxa"/>
            </w:tcMar>
            <w:vAlign w:val="center"/>
          </w:tcPr>
          <w:p>
            <w:pPr>
              <w:rPr>
                <w:rFonts w:hint="eastAsia" w:asciiTheme="minorEastAsia" w:hAnsiTheme="minorEastAsia" w:eastAsiaTheme="minorEastAsia" w:cs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无废标情况</w:t>
            </w:r>
          </w:p>
        </w:tc>
        <w:tc>
          <w:tcPr>
            <w:tcW w:w="0" w:type="auto"/>
            <w:shd w:val="clear" w:color="auto" w:fill="auto"/>
            <w:vAlign w:val="center"/>
          </w:tcPr>
          <w:p>
            <w:pPr>
              <w:rPr>
                <w:rFonts w:hint="eastAsia" w:asciiTheme="minorEastAsia" w:hAnsiTheme="minorEastAsia" w:eastAsiaTheme="minorEastAsia" w:cs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四、报价修正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p>
            <w:pPr>
              <w:rPr>
                <w:rFonts w:hint="eastAsia" w:asciiTheme="minorEastAsia" w:hAnsiTheme="minorEastAsia" w:eastAsiaTheme="minorEastAsia" w:cs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无报价内容</w:t>
            </w:r>
          </w:p>
        </w:tc>
        <w:tc>
          <w:tcPr>
            <w:tcW w:w="0" w:type="auto"/>
            <w:shd w:val="clear" w:color="auto" w:fill="auto"/>
            <w:vAlign w:val="center"/>
          </w:tcPr>
          <w:p>
            <w:pPr>
              <w:rPr>
                <w:rFonts w:hint="eastAsia" w:asciiTheme="minorEastAsia" w:hAnsiTheme="minorEastAsia" w:eastAsiaTheme="minorEastAsia" w:cs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五、所有投标人或供应商综合标评分情况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3"/>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89"/>
              <w:gridCol w:w="1278"/>
              <w:gridCol w:w="1279"/>
              <w:gridCol w:w="1279"/>
              <w:gridCol w:w="1279"/>
              <w:gridCol w:w="1279"/>
              <w:gridCol w:w="1279"/>
              <w:gridCol w:w="1279"/>
              <w:gridCol w:w="127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单位名称</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评委A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评委B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评委C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评委D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评委E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评委F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河南高速公路设计咨询有限公司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45.0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45.0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45.0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45.0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45.0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45.0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45.0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华设设计集团股份有限公司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37.0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37.0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37.0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37.0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37.0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37.0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中交第一公路勘察设计研究院有限公司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30.0</w:t>
                  </w:r>
                </w:p>
              </w:tc>
            </w:tr>
          </w:tbl>
          <w:p>
            <w:pPr>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六、所有投标人或供应商技术标评分情况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3"/>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89"/>
              <w:gridCol w:w="1278"/>
              <w:gridCol w:w="1279"/>
              <w:gridCol w:w="1279"/>
              <w:gridCol w:w="1279"/>
              <w:gridCol w:w="1279"/>
              <w:gridCol w:w="1279"/>
              <w:gridCol w:w="1279"/>
              <w:gridCol w:w="127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单位名称</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评委A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评委B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评委C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评委D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评委E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评委F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河南高速公路设计咨询有限公司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39.0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45.0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42.4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36.6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41.4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39.1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华设设计集团股份有限公司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34.8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33.3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35.6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40.4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32.0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36.1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34.9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中交第一公路勘察设计研究院有限公司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34.8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33.7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33.8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40.4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30.5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30.7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34.9</w:t>
                  </w:r>
                </w:p>
              </w:tc>
            </w:tr>
          </w:tbl>
          <w:p>
            <w:pPr>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七、所有投标人或供应商总得分情况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3"/>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1"/>
              <w:gridCol w:w="7211"/>
              <w:gridCol w:w="1479"/>
              <w:gridCol w:w="147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单位名称</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报价得分</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总得分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河南高速公路设计咨询有限公司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9.98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94.91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华设设计集团股份有限公司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9.97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82.27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中交第一公路勘察设计研究院有限公司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10.0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74.11 </w:t>
                  </w:r>
                </w:p>
              </w:tc>
            </w:tr>
          </w:tbl>
          <w:p>
            <w:pPr>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八、公示时间：2024年04月23日至2024年04月26日</w:t>
            </w:r>
            <w:r>
              <w:rPr>
                <w:rFonts w:hint="eastAsia" w:asciiTheme="minorEastAsia" w:hAnsiTheme="minorEastAsia" w:eastAsiaTheme="minorEastAsia" w:cstheme="minorEastAsia"/>
                <w:color w:val="auto"/>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九、招标文件规定公示的其他内容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3"/>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6"/>
              <w:gridCol w:w="1291"/>
              <w:gridCol w:w="907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单位名称</w:t>
                  </w:r>
                </w:p>
              </w:tc>
              <w:tc>
                <w:tcPr>
                  <w:tcW w:w="36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其他内容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河南高速公路设计咨询有限公司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质量要求：符合国家现行规范和标准，质量达到合格标准，安全目标：无重大安 全隐患、安全生产“零”事故、无安全生产责任事故，设计服务期限：自合同签订之日 起至项目竣工验收完毕止（自签订合同协议书之日起，在招标人要求的时限内提交施工 图设计文件及有关资料，并通过相关部门的审查批复)，后续服务周期至通过竣工验收。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华设设计集团股份有限公司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质量要求：符合国家现行规范和标准，质量达到合格标准，安全目标：无重大安 全隐患、安全生产“零”事故、无安全生产责任事故，设计服务期限：自合同签订之日 起至项目竣工验收完毕止（自签订合同协议书之日起，在招标人要求的时限内提交施工 图设计文件及有关资料，并通过相关部门的审查批复)，后续服务周期至通过竣工验收。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中交第一公路勘察设计研究院有限公司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质量要求：符合国家现行规范和标准，质量达到合格标准，安全目标：无重大安 全隐患、安全生产“零”事故、无安全生产责任事故，设计服务期限：自合同签订之日 起至项目竣工验收完毕止（自签订合同协议书之日起，在招标人要求的时限内提交施工 图设计文件及有关资料，并通过相关部门的审查批复)，后续服务周期至通过竣工验收。 </w:t>
                  </w:r>
                </w:p>
              </w:tc>
            </w:tr>
          </w:tbl>
          <w:p>
            <w:pPr>
              <w:spacing w:before="0" w:beforeAutospacing="0" w:after="0" w:afterAutospacing="0" w:line="360" w:lineRule="atLeast"/>
              <w:ind w:left="0" w:right="0"/>
              <w:rPr>
                <w:rFonts w:hint="eastAsia" w:asciiTheme="minorEastAsia" w:hAnsiTheme="minorEastAsia" w:eastAsiaTheme="minorEastAsia" w:cs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投标人或其他利害关系人对评标结果有异议的，可在公示期内向招标人或招标代理机构提出。公示期满对公示结果没有异议的，招标人将签发中标通知书。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3"/>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招标人：河南交通投资集团有限公司南阳分公司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代理机构：河南公路工程招标咨询有限公司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联系人：朱女士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联系电话：0371-60282355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2024年04月2</w:t>
                  </w:r>
                  <w:r>
                    <w:rPr>
                      <w:rFonts w:hint="eastAsia" w:asciiTheme="minorEastAsia" w:hAnsiTheme="minorEastAsia" w:cstheme="minorEastAsia"/>
                      <w:color w:val="auto"/>
                      <w:kern w:val="0"/>
                      <w:sz w:val="24"/>
                      <w:szCs w:val="24"/>
                      <w:lang w:val="en-US" w:eastAsia="zh-CN" w:bidi="ar"/>
                    </w:rPr>
                    <w:t>3</w:t>
                  </w:r>
                  <w:bookmarkStart w:id="0" w:name="_GoBack"/>
                  <w:bookmarkEnd w:id="0"/>
                  <w:r>
                    <w:rPr>
                      <w:rFonts w:hint="eastAsia" w:asciiTheme="minorEastAsia" w:hAnsiTheme="minorEastAsia" w:eastAsiaTheme="minorEastAsia" w:cstheme="minorEastAsia"/>
                      <w:color w:val="auto"/>
                      <w:kern w:val="0"/>
                      <w:sz w:val="24"/>
                      <w:szCs w:val="24"/>
                      <w:lang w:val="en-US" w:eastAsia="zh-CN" w:bidi="ar"/>
                    </w:rPr>
                    <w:t>日</w:t>
                  </w:r>
                </w:p>
              </w:tc>
            </w:tr>
          </w:tbl>
          <w:p>
            <w:pPr>
              <w:spacing w:line="360" w:lineRule="atLeast"/>
              <w:jc w:val="right"/>
              <w:rPr>
                <w:rFonts w:hint="eastAsia" w:asciiTheme="minorEastAsia" w:hAnsiTheme="minorEastAsia" w:eastAsiaTheme="minorEastAsia" w:cstheme="minorEastAsia"/>
                <w:color w:val="auto"/>
                <w:sz w:val="24"/>
                <w:szCs w:val="24"/>
              </w:rPr>
            </w:pP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NzA3Yjg0YmJlOWRjODc0NDZlOTg1OTYzMzk1YTYifQ=="/>
  </w:docVars>
  <w:rsids>
    <w:rsidRoot w:val="00000000"/>
    <w:rsid w:val="4C712FAE"/>
    <w:rsid w:val="5F4160CC"/>
    <w:rsid w:val="66471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Normal (Web)"/>
    <w:basedOn w:val="1"/>
    <w:autoRedefine/>
    <w:qFormat/>
    <w:uiPriority w:val="0"/>
    <w:pPr>
      <w:pBdr>
        <w:top w:val="single" w:color="7CBCF3" w:sz="4" w:space="0"/>
        <w:left w:val="single" w:color="7CBCF3" w:sz="4" w:space="0"/>
        <w:bottom w:val="single" w:color="7CBCF3" w:sz="4" w:space="0"/>
        <w:right w:val="single" w:color="7CBCF3" w:sz="4" w:space="0"/>
      </w:pBdr>
      <w:shd w:val="clear" w:fill="FFFFFF"/>
      <w:spacing w:before="0" w:beforeAutospacing="0" w:after="0" w:afterAutospacing="0" w:line="360" w:lineRule="atLeast"/>
      <w:ind w:left="0" w:right="0"/>
      <w:jc w:val="center"/>
      <w:textAlignment w:val="center"/>
    </w:pPr>
    <w:rPr>
      <w:color w:val="5C5C5C"/>
      <w:kern w:val="0"/>
      <w:sz w:val="24"/>
      <w:u w:val="none"/>
      <w:lang w:val="en-US" w:eastAsia="zh-CN" w:bidi="ar"/>
    </w:rPr>
  </w:style>
  <w:style w:type="character" w:styleId="5">
    <w:name w:val="Strong"/>
    <w:basedOn w:val="4"/>
    <w:autoRedefine/>
    <w:qFormat/>
    <w:uiPriority w:val="0"/>
    <w:rPr>
      <w:b/>
      <w:bCs/>
    </w:rPr>
  </w:style>
  <w:style w:type="character" w:styleId="6">
    <w:name w:val="FollowedHyperlink"/>
    <w:basedOn w:val="4"/>
    <w:autoRedefine/>
    <w:qFormat/>
    <w:uiPriority w:val="0"/>
    <w:rPr>
      <w:color w:val="5C5C5C"/>
      <w:u w:val="none"/>
    </w:rPr>
  </w:style>
  <w:style w:type="character" w:styleId="7">
    <w:name w:val="Emphasis"/>
    <w:basedOn w:val="4"/>
    <w:autoRedefine/>
    <w:qFormat/>
    <w:uiPriority w:val="0"/>
    <w:rPr>
      <w:b/>
      <w:bCs/>
    </w:rPr>
  </w:style>
  <w:style w:type="character" w:styleId="8">
    <w:name w:val="HTML Definition"/>
    <w:basedOn w:val="4"/>
    <w:autoRedefine/>
    <w:qFormat/>
    <w:uiPriority w:val="0"/>
  </w:style>
  <w:style w:type="character" w:styleId="9">
    <w:name w:val="HTML Typewriter"/>
    <w:basedOn w:val="4"/>
    <w:autoRedefine/>
    <w:qFormat/>
    <w:uiPriority w:val="0"/>
    <w:rPr>
      <w:rFonts w:ascii="monospace" w:hAnsi="monospace" w:eastAsia="monospace" w:cs="monospace"/>
      <w:sz w:val="20"/>
    </w:rPr>
  </w:style>
  <w:style w:type="character" w:styleId="10">
    <w:name w:val="HTML Acronym"/>
    <w:basedOn w:val="4"/>
    <w:autoRedefine/>
    <w:qFormat/>
    <w:uiPriority w:val="0"/>
  </w:style>
  <w:style w:type="character" w:styleId="11">
    <w:name w:val="HTML Variable"/>
    <w:basedOn w:val="4"/>
    <w:autoRedefine/>
    <w:qFormat/>
    <w:uiPriority w:val="0"/>
  </w:style>
  <w:style w:type="character" w:styleId="12">
    <w:name w:val="Hyperlink"/>
    <w:basedOn w:val="4"/>
    <w:autoRedefine/>
    <w:uiPriority w:val="0"/>
    <w:rPr>
      <w:color w:val="5C5C5C"/>
      <w:u w:val="none"/>
    </w:rPr>
  </w:style>
  <w:style w:type="character" w:styleId="13">
    <w:name w:val="HTML Code"/>
    <w:basedOn w:val="4"/>
    <w:autoRedefine/>
    <w:qFormat/>
    <w:uiPriority w:val="0"/>
    <w:rPr>
      <w:rFonts w:hint="default" w:ascii="monospace" w:hAnsi="monospace" w:eastAsia="monospace" w:cs="monospace"/>
      <w:color w:val="5C5C5C"/>
      <w:sz w:val="14"/>
      <w:szCs w:val="14"/>
      <w:bdr w:val="single" w:color="EBEBEB" w:sz="2" w:space="0"/>
      <w:shd w:val="clear" w:fill="FFFFFF"/>
    </w:rPr>
  </w:style>
  <w:style w:type="character" w:styleId="14">
    <w:name w:val="HTML Cite"/>
    <w:basedOn w:val="4"/>
    <w:autoRedefine/>
    <w:qFormat/>
    <w:uiPriority w:val="0"/>
  </w:style>
  <w:style w:type="character" w:styleId="15">
    <w:name w:val="HTML Keyboard"/>
    <w:basedOn w:val="4"/>
    <w:autoRedefine/>
    <w:qFormat/>
    <w:uiPriority w:val="0"/>
    <w:rPr>
      <w:rFonts w:hint="default" w:ascii="monospace" w:hAnsi="monospace" w:eastAsia="monospace" w:cs="monospace"/>
      <w:sz w:val="20"/>
    </w:rPr>
  </w:style>
  <w:style w:type="character" w:styleId="16">
    <w:name w:val="HTML Sample"/>
    <w:basedOn w:val="4"/>
    <w:autoRedefine/>
    <w:qFormat/>
    <w:uiPriority w:val="0"/>
    <w:rPr>
      <w:rFonts w:hint="default" w:ascii="monospace" w:hAnsi="monospace" w:eastAsia="monospace" w:cs="monospace"/>
      <w:color w:val="D6D6D6"/>
      <w:sz w:val="14"/>
      <w:szCs w:val="14"/>
    </w:rPr>
  </w:style>
  <w:style w:type="character" w:customStyle="1" w:styleId="17">
    <w:name w:val="hover1"/>
    <w:basedOn w:val="4"/>
    <w:autoRedefine/>
    <w:qFormat/>
    <w:uiPriority w:val="0"/>
    <w:rPr>
      <w:color w:val="2590EB"/>
    </w:rPr>
  </w:style>
  <w:style w:type="character" w:customStyle="1" w:styleId="18">
    <w:name w:val="hover2"/>
    <w:basedOn w:val="4"/>
    <w:autoRedefine/>
    <w:qFormat/>
    <w:uiPriority w:val="0"/>
    <w:rPr>
      <w:color w:val="2590EB"/>
    </w:rPr>
  </w:style>
  <w:style w:type="character" w:customStyle="1" w:styleId="19">
    <w:name w:val="hover3"/>
    <w:basedOn w:val="4"/>
    <w:autoRedefine/>
    <w:qFormat/>
    <w:uiPriority w:val="0"/>
  </w:style>
  <w:style w:type="character" w:customStyle="1" w:styleId="20">
    <w:name w:val="hover4"/>
    <w:basedOn w:val="4"/>
    <w:qFormat/>
    <w:uiPriority w:val="0"/>
    <w:rPr>
      <w:color w:val="2590EB"/>
      <w:shd w:val="clear" w:fill="E9F4F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2024-04-22T08:29:00Z</dcterms:created>
  <dc:creator>LENOVO</dc:creator>
  <cp:lastModifiedBy>眼睛里的小星星</cp:lastModifiedBy>
  <cp:lastPrinted>2024-04-22T08:44:00Z</cp:lastPrinted>
  <dcterms:modified xsi:type="dcterms:W3CDTF">2024-04-22T09:00:32Z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0481C4C2BA094C69B712E74E0B02021C</vt:lpwstr>
  </property>
</Properties>
</file>