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146"/>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pStyle w:val="2"/>
              <w:bidi w:val="0"/>
              <w:jc w:val="center"/>
              <w:rPr>
                <w:rFonts w:hint="eastAsia"/>
                <w:color w:val="auto"/>
                <w:lang w:val="en-US" w:eastAsia="zh-CN"/>
              </w:rPr>
            </w:pPr>
            <w:r>
              <w:rPr>
                <w:rFonts w:hint="eastAsia"/>
                <w:color w:val="auto"/>
                <w:lang w:val="en-US" w:eastAsia="zh-CN"/>
              </w:rPr>
              <w:t>河南交通投资集团有限公司2024年第一批桥隧养护工程施工QSYH-2</w:t>
            </w:r>
          </w:p>
          <w:p>
            <w:pPr>
              <w:pStyle w:val="2"/>
              <w:bidi w:val="0"/>
              <w:jc w:val="center"/>
              <w:rPr>
                <w:rFonts w:hint="eastAsia"/>
                <w:color w:val="auto"/>
                <w:lang w:val="en-US" w:eastAsia="zh-CN"/>
              </w:rPr>
            </w:pPr>
            <w:bookmarkStart w:id="0" w:name="_GoBack"/>
            <w:bookmarkEnd w:id="0"/>
            <w:r>
              <w:rPr>
                <w:rFonts w:hint="eastAsia"/>
                <w:color w:val="auto"/>
                <w:lang w:val="en-US" w:eastAsia="zh-CN"/>
              </w:rPr>
              <w:t>中标候选人公示</w:t>
            </w:r>
          </w:p>
          <w:p>
            <w:pPr>
              <w:keepNext w:val="0"/>
              <w:keepLines w:val="0"/>
              <w:widowControl/>
              <w:suppressLineNumbers w:val="0"/>
              <w:spacing w:before="0" w:beforeAutospacing="0" w:after="0" w:afterAutospacing="0" w:line="30" w:lineRule="atLeast"/>
              <w:ind w:left="0" w:right="0" w:firstLine="320" w:firstLineChars="20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通投资集团有限公司2024年第一批桥隧养护工程施工（招标编号为豫工程20240167001）于2024-04-22在河南省公共资源交易中心依法进行公开开标、评标后，评标委员会按照招标文件规定的评标标准和方法进行了评审，现将本次招标的中标候选人公示如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一、中标候选人</w:t>
            </w:r>
            <w:r>
              <w:rPr>
                <w:rFonts w:hint="eastAsia" w:ascii="宋体" w:hAnsi="宋体" w:eastAsia="宋体" w:cs="宋体"/>
                <w:color w:val="auto"/>
                <w:kern w:val="0"/>
                <w:sz w:val="19"/>
                <w:szCs w:val="1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55"/>
              <w:gridCol w:w="2655"/>
              <w:gridCol w:w="2655"/>
              <w:gridCol w:w="26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第一名</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第二名</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中标候选人</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河南交投交通建设集团有限公司</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河南瑞航路业股份有限公司</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安徽恒通交通工程有限公司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 xml:space="preserve">投标报价(元)/投标费率(%) </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5642617.000</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5648258.000</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5628543.000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项目负责人</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孟建坤</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袁广林</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胡卫珂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质量</w:t>
                  </w:r>
                </w:p>
              </w:tc>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88"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工期（交货期）</w:t>
                  </w:r>
                </w:p>
              </w:tc>
              <w:tc>
                <w:tcPr>
                  <w:tcW w:w="2388"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88"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88"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r>
          </w:tbl>
          <w:p>
            <w:pPr>
              <w:spacing w:before="0" w:beforeAutospacing="0" w:after="0" w:afterAutospacing="0" w:line="360" w:lineRule="atLeast"/>
              <w:ind w:left="0" w:right="0"/>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1.1、中标候选人项目管理人员情况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6"/>
              <w:gridCol w:w="1383"/>
              <w:gridCol w:w="1164"/>
              <w:gridCol w:w="549"/>
              <w:gridCol w:w="549"/>
              <w:gridCol w:w="556"/>
              <w:gridCol w:w="1456"/>
              <w:gridCol w:w="1780"/>
              <w:gridCol w:w="29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108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姓名</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人员类别</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职务</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身份证号码</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职业资格证书</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河南交投交通建设集团有限公司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孟建坤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410***********2517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一级建造师、高级工程师、安全生产考核合格证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豫1412009201008101、B19160900461、豫交安B（05）G30269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河南交投交通建设集团有限公司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董宏伟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项目总工程师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410***********3014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B202009C11900040、豫交安B（17）G00395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河南瑞航路业股份有限公司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袁广林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410***********4635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一级建造师、高级工程师、安全生产考核合格证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豫1412019202001781、B202309070201431、豫交安B（20）G00150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河南瑞航路业股份有限公司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郑磊明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项目总工程师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410***********5011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B202209130200064、豫交安 B(14)G05954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安徽恒通交通工程有限公司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胡卫珂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340***********1643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一级建造师、高级工程师、安全生产考核合格证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皖 1342014201512925、(2019)934010770、皖交安 B(17)G00610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安徽恒通交通工程有限公司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汪晓光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项目总工程师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340***********5434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(2020)934004503、皖交安 B(12)G30178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1.2、中标候选人企业业绩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6"/>
              <w:gridCol w:w="1384"/>
              <w:gridCol w:w="1167"/>
              <w:gridCol w:w="4348"/>
              <w:gridCol w:w="1776"/>
              <w:gridCol w:w="812"/>
              <w:gridCol w:w="9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中标候选人名称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中标工程名称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建设单位</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合同签订时间</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河南交投交通建设集团有限公司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2020年高发驿阳分公司路面病害处治专项工程施工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河南高速公路发展有限责任公司驿阳分公司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2020年07月17日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65338011.00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河南交投交通建设集团有限公司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京港澳高速公路郑漯段上行三车道K749+000-K806+123路面病害处治专项工程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河南中原高速公路股份有限公司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2019年10月10日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33806292.00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河南瑞航路业股份有限公司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河南省许平南高速公路有限责任公司日常养护土建工程施工XPN-YH-1标段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河南省许平南高速公路有限责任公司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2019年11月01日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26850365.00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河南瑞航路业股份有限公司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河南省许平南高速公路有限责任公司日常养护土建工程施工（XPN-YH-1标段）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河南省许平南高速公路有限责任公司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2019年11月01日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26850365.00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河南瑞航路业股份有限公司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洛栾高速公路、郑卢高速公路（洛阳段）维修保养施工LYYH-3标段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河南省收费还贷高速公路管理有限公司洛阳分公司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2019年04月25日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13890250.00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安徽恒通交通工程有限公司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河南省许平南高速公路有限责任公司日常养护土建工程XPN-YH-3标段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河南省许平南高速公路有限责任公司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2019年11月01日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24736427.41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安徽恒通交通工程有限公司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安徽省交通控股集团芜湖高速公路管理中心所辖高速公路2021-2023年度日常养护及小修工程WH-YH-01标段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安徽省交通控股集团有限公司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2021年01月27日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17534135.00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1.3、中标候选人项目负责人业绩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无此项内容</w:t>
            </w:r>
          </w:p>
        </w:tc>
        <w:tc>
          <w:tcPr>
            <w:tcW w:w="0" w:type="auto"/>
            <w:shd w:val="clear" w:color="auto" w:fill="auto"/>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二、中标候选人响应招标文件要求的资格能力条件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2.1招标文件要求的资格能力条件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4"/>
              <w:gridCol w:w="1278"/>
              <w:gridCol w:w="91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108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3.1本次招标要求投标人具备独立法人资格，持有有效的营业执照、安全生产许可证及相应资质证书，并在人员、设备、资金等方面具备相应的施工能力。 3.1.1 QSYH-1、QSYH-2资质施工资质等级要求具备交通行政主管部门颁发的公路养护作业桥梁养护乙级及以上资质。 QSYH-3、QSYH-4、QSYH-5标段施工资质等级要求具备交通行政主管部门颁发的公路养护作业桥梁养护甲级资质。 QSYH-6标段施工资质等级要求同时具备交通行政主管部门颁发的公路养护作业桥梁养护甲级资质和隧道养护甲级资质。 3.1.2 QSYH-1、QSYH-2标段业绩要求：最近5年(2019年1月1日至投标截止日期前一日，以交（竣）工日期为准)独立完成过一项合同金额600万元（含）以上高速公路养护工程业绩（主包已建，分包无效），质量合格。 QSYH-3、QSYH-5、QSYH-6标段业绩要求：最近5年(2019年1月1日至投标截止日期前一日，以交（竣）工日期为准)独立完成过一项合同金额1000万元（含）以上高速公路养护工程业绩（主包已建，分包无效），质量合格。 QSYH-4标段业绩要求：最近5年(2019年1月1日至投标截止日期前一日，以交（竣）工日期为准)独立完成过一项合同金额800万元（含）以上高速公路养护工程业绩（主包已建，分包无效），质量合格。 3.1.3（适用所有标段）项目经理要求工程师及以上职称，具有一级建造师（公路工程）执业资格证书，具有B类安全生产考核合格证（建造师执业资格和B类安全生产考核合格证必须在本单位注册）。 （适用所有标段）项目总工程师要求工程师及以上职称，具有B类安全生产考核合格证（B类安全生产考核合格证必须在本单位注册）。 3.1.4 QSYH-1、QSYH-2标段投标人近3年度（2020年至2022年）的年平均营业收入不少于人民币600万元。 QSYH-3、QSYH-5、QSYH-6标段投标人近3年度（2020年至2022年）的年平均营业收入不少于人民币1000万元。 QSYH-4标段投标人近3年度（2020年至2022年）的年平均营业收入不少于人民币800万元。 3.2 本次招标不接受联合体投标。 3.3每个投标人最多可对6个标段投标，每个投标人允许中6个标段。 3.4与招标人存在利害关系可能影响招标公正性的单位，不得参加投标。单位负责人为同一人或存在控股、管理关系的不同单位，不得参加同一标段投标，否则相关投标均无效。 3.5本次招标不接受存在《公路工程标准施工招标文件》（2018年版）“投标人须知”第1.4.3项情形之一的投标人。 3.6本次招标不接受存在《公路工程标准施工招标文件》（2018年版）“投标人须知”第1.4.4所列的不良状况或不良信用记录且最新信用评价等级被交通运输部或河南省交通运输厅评为D级的投标人。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2.2中标候选人响应招标文件要求的资格能力条件情况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28"/>
              <w:gridCol w:w="2269"/>
              <w:gridCol w:w="3091"/>
              <w:gridCol w:w="49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13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河南交投交通建设集团有限公司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河南瑞航路业股份有限公司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安徽恒通交通工程有限公司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完全响应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三、废标情况及原因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无废标情况</w:t>
            </w:r>
          </w:p>
        </w:tc>
        <w:tc>
          <w:tcPr>
            <w:tcW w:w="0" w:type="auto"/>
            <w:shd w:val="clear" w:color="auto" w:fill="auto"/>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四、报价修正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无报价内容</w:t>
            </w:r>
          </w:p>
        </w:tc>
        <w:tc>
          <w:tcPr>
            <w:tcW w:w="0" w:type="auto"/>
            <w:shd w:val="clear" w:color="auto" w:fill="auto"/>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五、所有投标人或供应商综合标评分情况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65"/>
              <w:gridCol w:w="1281"/>
              <w:gridCol w:w="1282"/>
              <w:gridCol w:w="1282"/>
              <w:gridCol w:w="1282"/>
              <w:gridCol w:w="1282"/>
              <w:gridCol w:w="1282"/>
              <w:gridCol w:w="1282"/>
              <w:gridCol w:w="1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评委A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评委B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评委C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评委D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评委E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评委F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河南交投交通建设集团有限公司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河南瑞航路业股份有限公司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安徽恒通交通工程有限公司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河南汉通公路工程有限公司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28.0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28.0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28.0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28.0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28.0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28.0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江苏虹一工程建设有限公司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江西亿安工程科技集团有限公司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河南通大公路养护工程有限公司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南京路友道路工程有限公司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26.0</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六、所有投标人或供应商技术标评分情况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65"/>
              <w:gridCol w:w="1281"/>
              <w:gridCol w:w="1282"/>
              <w:gridCol w:w="1282"/>
              <w:gridCol w:w="1282"/>
              <w:gridCol w:w="1282"/>
              <w:gridCol w:w="1282"/>
              <w:gridCol w:w="1282"/>
              <w:gridCol w:w="1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评委A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评委B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评委C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评委D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评委E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评委F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河南交投交通建设集团有限公司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19.8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18.35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19.24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河南瑞航路业股份有限公司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16.89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16.85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14.73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安徽恒通交通工程有限公司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14.14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15.65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14.75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15.95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河南汉通公路工程有限公司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15.06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16.15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15.39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江苏虹一工程建设有限公司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13.62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13.29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江西亿安工程科技集团有限公司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13.37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13.23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河南通大公路养护工程有限公司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16.56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15.03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南京路友道路工程有限公司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14.58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15.65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14.8</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16.1</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七、所有投标人或供应商总得分情况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0"/>
              <w:gridCol w:w="5737"/>
              <w:gridCol w:w="2136"/>
              <w:gridCol w:w="21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报价得分</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河南交投交通建设集团有限公司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49.46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97.4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河南瑞航路业股份有限公司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49.41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95.23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安徽恒通交通工程有限公司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49.59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94.53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河南汉通公路工程有限公司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49.44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93.04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江苏虹一工程建设有限公司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48.45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92.89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江西亿安工程科技集团有限公司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48.13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92.41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河南通大公路养护工程有限公司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91.15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8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南京路友道路工程有限公司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49.43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90.91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八、公示时间：2024年04月23日至2024年04月26日</w:t>
            </w:r>
            <w:r>
              <w:rPr>
                <w:rFonts w:hint="eastAsia" w:ascii="宋体" w:hAnsi="宋体" w:eastAsia="宋体" w:cs="宋体"/>
                <w:color w:val="auto"/>
                <w:kern w:val="0"/>
                <w:sz w:val="19"/>
                <w:szCs w:val="1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九、招标文件规定公示的其他内容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0"/>
              <w:gridCol w:w="1597"/>
              <w:gridCol w:w="88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其他内容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河南交投交通建设集团有限公司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工程质量：标段工程交工验收的质量评定：合格；竣工验收的质量评定：合格，安全目标： 无重大安 全隐患、安全生产“零”事故、无安全生产责任事故 ，工期： 60 日历天 。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河南瑞航路业股份有限公司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工程质量：标段工程交工验收的质量评定：合格；竣工验收的质量评定：合格，安全目标： 无重大安 全隐患、安全生产“零”事故、无安全生产责任事故 ，工期： 60 日历天 。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安徽恒通交通工程有限公司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工程质量：标段工程交工验收的质量评定：合格；竣工验收的质量评定：合格，安全目标： 无重大安 全隐患、安全生产“零”事故、无安全生产责任事故 ，工期： 60 日历天 。 </w:t>
                  </w:r>
                </w:p>
              </w:tc>
            </w:tr>
          </w:tbl>
          <w:p>
            <w:pPr>
              <w:spacing w:before="0" w:beforeAutospacing="0" w:after="0" w:afterAutospacing="0" w:line="360" w:lineRule="atLeast"/>
              <w:ind w:left="0" w:right="0"/>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投标人或其他利害关系人对评标结果有异议的，可在公示期内向招标人或招标代理机构提出。公示期满对公示结果没有异议的，招标人将签发中标通知书。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9480" w:type="dxa"/>
            <w:gridSpan w:val="2"/>
            <w:shd w:val="clear" w:color="auto" w:fill="auto"/>
            <w:tcMar>
              <w:top w:w="0" w:type="dxa"/>
              <w:left w:w="0" w:type="dxa"/>
              <w:bottom w:w="0" w:type="dxa"/>
              <w:right w:w="0" w:type="dxa"/>
            </w:tcMar>
            <w:vAlign w:val="center"/>
          </w:tcPr>
          <w:tbl>
            <w:tblPr>
              <w:tblStyle w:val="4"/>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招标人：河南交通投资集团有限公司三门峡分公司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代理机构：河南公路工程招标咨询有限公司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联系人：黄先生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联系电话：0371-61282355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2024年04月23日</w:t>
                  </w:r>
                </w:p>
              </w:tc>
            </w:tr>
          </w:tbl>
          <w:p>
            <w:pPr>
              <w:spacing w:line="360" w:lineRule="atLeast"/>
              <w:jc w:val="right"/>
              <w:rPr>
                <w:rFonts w:hint="eastAsia" w:ascii="宋体" w:hAnsi="宋体" w:eastAsia="宋体" w:cs="宋体"/>
                <w:color w:val="auto"/>
                <w:sz w:val="16"/>
                <w:szCs w:val="16"/>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3B092B"/>
    <w:rsid w:val="754D4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uiPriority w:val="0"/>
    <w:rPr>
      <w:color w:val="5C5C5C"/>
      <w:u w:val="none"/>
    </w:rPr>
  </w:style>
  <w:style w:type="character" w:styleId="8">
    <w:name w:val="Emphasis"/>
    <w:basedOn w:val="5"/>
    <w:qFormat/>
    <w:uiPriority w:val="0"/>
    <w:rPr>
      <w:b/>
      <w:bCs/>
    </w:rPr>
  </w:style>
  <w:style w:type="character" w:styleId="9">
    <w:name w:val="HTML Definition"/>
    <w:basedOn w:val="5"/>
    <w:uiPriority w:val="0"/>
  </w:style>
  <w:style w:type="character" w:styleId="10">
    <w:name w:val="HTML Typewriter"/>
    <w:basedOn w:val="5"/>
    <w:uiPriority w:val="0"/>
    <w:rPr>
      <w:rFonts w:hint="default" w:ascii="monospace" w:hAnsi="monospace" w:eastAsia="monospace" w:cs="monospace"/>
      <w:sz w:val="20"/>
    </w:rPr>
  </w:style>
  <w:style w:type="character" w:styleId="11">
    <w:name w:val="HTML Acronym"/>
    <w:basedOn w:val="5"/>
    <w:uiPriority w:val="0"/>
  </w:style>
  <w:style w:type="character" w:styleId="12">
    <w:name w:val="HTML Variable"/>
    <w:basedOn w:val="5"/>
    <w:qFormat/>
    <w:uiPriority w:val="0"/>
  </w:style>
  <w:style w:type="character" w:styleId="13">
    <w:name w:val="Hyperlink"/>
    <w:basedOn w:val="5"/>
    <w:uiPriority w:val="0"/>
    <w:rPr>
      <w:color w:val="5C5C5C"/>
      <w:u w:val="none"/>
    </w:rPr>
  </w:style>
  <w:style w:type="character" w:styleId="14">
    <w:name w:val="HTML Code"/>
    <w:basedOn w:val="5"/>
    <w:uiPriority w:val="0"/>
    <w:rPr>
      <w:rFonts w:hint="default" w:ascii="monospace" w:hAnsi="monospace" w:eastAsia="monospace" w:cs="monospace"/>
      <w:sz w:val="20"/>
    </w:rPr>
  </w:style>
  <w:style w:type="character" w:styleId="15">
    <w:name w:val="HTML Cite"/>
    <w:basedOn w:val="5"/>
    <w:uiPriority w:val="0"/>
  </w:style>
  <w:style w:type="character" w:styleId="16">
    <w:name w:val="HTML Keyboard"/>
    <w:basedOn w:val="5"/>
    <w:uiPriority w:val="0"/>
    <w:rPr>
      <w:rFonts w:ascii="monospace" w:hAnsi="monospace" w:eastAsia="monospace" w:cs="monospace"/>
      <w:sz w:val="20"/>
    </w:rPr>
  </w:style>
  <w:style w:type="character" w:styleId="17">
    <w:name w:val="HTML Sample"/>
    <w:basedOn w:val="5"/>
    <w:uiPriority w:val="0"/>
    <w:rPr>
      <w:rFonts w:hint="default" w:ascii="monospace" w:hAnsi="monospace" w:eastAsia="monospace" w:cs="monospace"/>
    </w:rPr>
  </w:style>
  <w:style w:type="character" w:customStyle="1" w:styleId="18">
    <w:name w:val="hover"/>
    <w:basedOn w:val="5"/>
    <w:uiPriority w:val="0"/>
  </w:style>
  <w:style w:type="character" w:customStyle="1" w:styleId="19">
    <w:name w:val="hover1"/>
    <w:basedOn w:val="5"/>
    <w:uiPriority w:val="0"/>
    <w:rPr>
      <w:color w:val="2590EB"/>
      <w:shd w:val="clear" w:fill="E9F4FD"/>
    </w:rPr>
  </w:style>
  <w:style w:type="character" w:customStyle="1" w:styleId="20">
    <w:name w:val="hover2"/>
    <w:basedOn w:val="5"/>
    <w:uiPriority w:val="0"/>
    <w:rPr>
      <w:color w:val="2590EB"/>
    </w:rPr>
  </w:style>
  <w:style w:type="character" w:customStyle="1" w:styleId="21">
    <w:name w:val="hover3"/>
    <w:basedOn w:val="5"/>
    <w:uiPriority w:val="0"/>
    <w:rPr>
      <w:color w:val="2590E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2024-04-23T02:46:00Z</dcterms:created>
  <dc:creator>LENOVO</dc:creator>
  <cp:lastModifiedBy>LENOVO</cp:lastModifiedBy>
  <dcterms:modified xsi:type="dcterms:W3CDTF">2024-04-23T02:54:28Z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8EC66B94293941519010FFB8BEACBD1A</vt:lpwstr>
  </property>
</Properties>
</file>