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olor w:val="000000"/>
          <w:sz w:val="32"/>
          <w:szCs w:val="32"/>
        </w:rPr>
      </w:pPr>
      <w:bookmarkStart w:id="0" w:name="_GoBack"/>
      <w:bookmarkEnd w:id="0"/>
      <w:r>
        <w:rPr>
          <w:rFonts w:hint="eastAsia" w:ascii="黑体" w:hAnsi="黑体" w:eastAsia="黑体"/>
          <w:color w:val="000000"/>
          <w:sz w:val="32"/>
          <w:szCs w:val="32"/>
        </w:rPr>
        <w:t>附件1</w:t>
      </w:r>
    </w:p>
    <w:p>
      <w:pPr>
        <w:overflowPunct w:val="0"/>
        <w:snapToGrid w:val="0"/>
        <w:jc w:val="center"/>
        <w:rPr>
          <w:rFonts w:ascii="方正小标宋简体" w:hAnsi="黑体" w:eastAsia="方正小标宋简体" w:cs="黑体"/>
          <w:color w:val="000000"/>
        </w:rPr>
      </w:pPr>
    </w:p>
    <w:p>
      <w:pPr>
        <w:overflowPunct w:val="0"/>
        <w:snapToGrid w:val="0"/>
        <w:jc w:val="center"/>
        <w:rPr>
          <w:rFonts w:ascii="方正小标宋简体" w:hAnsi="黑体" w:eastAsia="方正小标宋简体" w:cs="黑体"/>
          <w:color w:val="000000"/>
          <w:sz w:val="44"/>
          <w:szCs w:val="44"/>
        </w:rPr>
      </w:pPr>
      <w:r>
        <w:rPr>
          <w:rFonts w:hint="eastAsia" w:ascii="方正小标宋简体" w:hAnsi="黑体" w:eastAsia="方正小标宋简体" w:cs="黑体"/>
          <w:color w:val="000000"/>
          <w:sz w:val="44"/>
          <w:szCs w:val="44"/>
        </w:rPr>
        <w:t>2023年河南省高等职业教育教学能力</w:t>
      </w:r>
    </w:p>
    <w:p>
      <w:pPr>
        <w:overflowPunct w:val="0"/>
        <w:snapToGrid w:val="0"/>
        <w:jc w:val="center"/>
        <w:rPr>
          <w:rFonts w:ascii="方正小标宋简体" w:hAnsi="黑体" w:eastAsia="方正小标宋简体" w:cs="黑体"/>
          <w:color w:val="000000"/>
          <w:sz w:val="44"/>
          <w:szCs w:val="44"/>
        </w:rPr>
      </w:pPr>
      <w:r>
        <w:rPr>
          <w:rFonts w:hint="eastAsia" w:ascii="方正小标宋简体" w:hAnsi="黑体" w:eastAsia="方正小标宋简体" w:cs="黑体"/>
          <w:color w:val="000000"/>
          <w:sz w:val="44"/>
          <w:szCs w:val="44"/>
        </w:rPr>
        <w:t>大赛活动方案</w:t>
      </w:r>
    </w:p>
    <w:p>
      <w:pPr>
        <w:overflowPunct w:val="0"/>
        <w:jc w:val="center"/>
        <w:outlineLvl w:val="0"/>
        <w:rPr>
          <w:rFonts w:ascii="仿宋_GB2312" w:hAnsi="仿宋" w:cs="仿宋"/>
          <w:b/>
          <w:color w:val="000000"/>
          <w:sz w:val="32"/>
          <w:szCs w:val="32"/>
        </w:rPr>
      </w:pP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2023年河南省高等职业教育教学能力大赛省级竞赛，根据《2</w:t>
      </w:r>
      <w:r>
        <w:rPr>
          <w:rFonts w:ascii="仿宋_GB2312" w:hAnsi="仿宋" w:cs="仿宋"/>
          <w:color w:val="000000"/>
          <w:sz w:val="32"/>
          <w:szCs w:val="32"/>
        </w:rPr>
        <w:t>02</w:t>
      </w:r>
      <w:r>
        <w:rPr>
          <w:rFonts w:hint="eastAsia" w:ascii="仿宋_GB2312" w:hAnsi="仿宋" w:cs="仿宋"/>
          <w:color w:val="000000"/>
          <w:sz w:val="32"/>
          <w:szCs w:val="32"/>
        </w:rPr>
        <w:t>2</w:t>
      </w:r>
      <w:r>
        <w:rPr>
          <w:rFonts w:ascii="仿宋_GB2312" w:hAnsi="仿宋" w:cs="仿宋"/>
          <w:color w:val="000000"/>
          <w:sz w:val="32"/>
          <w:szCs w:val="32"/>
        </w:rPr>
        <w:t>年全国职业院校技能大赛教学能力比赛方案</w:t>
      </w:r>
      <w:r>
        <w:rPr>
          <w:rFonts w:hint="eastAsia" w:ascii="仿宋_GB2312" w:hAnsi="仿宋" w:cs="仿宋"/>
          <w:color w:val="000000"/>
          <w:sz w:val="32"/>
          <w:szCs w:val="32"/>
        </w:rPr>
        <w:t>》要求进行，参赛作品材料及现场决赛、评判评分指标等有关要求，均按照2</w:t>
      </w:r>
      <w:r>
        <w:rPr>
          <w:rFonts w:ascii="仿宋_GB2312" w:hAnsi="仿宋" w:cs="仿宋"/>
          <w:color w:val="000000"/>
          <w:sz w:val="32"/>
          <w:szCs w:val="32"/>
        </w:rPr>
        <w:t>02</w:t>
      </w:r>
      <w:r>
        <w:rPr>
          <w:rFonts w:hint="eastAsia" w:ascii="仿宋_GB2312" w:hAnsi="仿宋" w:cs="仿宋"/>
          <w:color w:val="000000"/>
          <w:sz w:val="32"/>
          <w:szCs w:val="32"/>
        </w:rPr>
        <w:t>2</w:t>
      </w:r>
      <w:r>
        <w:rPr>
          <w:rFonts w:ascii="仿宋_GB2312" w:hAnsi="仿宋" w:cs="仿宋"/>
          <w:color w:val="000000"/>
          <w:sz w:val="32"/>
          <w:szCs w:val="32"/>
        </w:rPr>
        <w:t>年全国职业院校技能大赛教学能力比赛</w:t>
      </w:r>
      <w:r>
        <w:rPr>
          <w:rFonts w:hint="eastAsia" w:ascii="仿宋_GB2312" w:hAnsi="仿宋" w:cs="仿宋"/>
          <w:color w:val="000000"/>
          <w:sz w:val="32"/>
          <w:szCs w:val="32"/>
        </w:rPr>
        <w:t>的要求。</w:t>
      </w:r>
    </w:p>
    <w:p>
      <w:pPr>
        <w:overflowPunct w:val="0"/>
        <w:ind w:firstLine="640" w:firstLineChars="200"/>
        <w:outlineLvl w:val="0"/>
        <w:rPr>
          <w:rFonts w:ascii="黑体" w:hAnsi="黑体" w:eastAsia="黑体"/>
          <w:color w:val="000000"/>
          <w:sz w:val="32"/>
          <w:szCs w:val="32"/>
          <w:lang w:val="en"/>
        </w:rPr>
      </w:pPr>
      <w:r>
        <w:rPr>
          <w:rFonts w:hint="eastAsia" w:ascii="黑体" w:hAnsi="黑体" w:eastAsia="黑体"/>
          <w:color w:val="000000"/>
          <w:sz w:val="32"/>
          <w:szCs w:val="32"/>
          <w:lang w:val="en"/>
        </w:rPr>
        <w:t>一、省级竞赛参赛名额</w:t>
      </w:r>
    </w:p>
    <w:p>
      <w:pPr>
        <w:overflowPunct w:val="0"/>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（一）基础名额</w:t>
      </w:r>
    </w:p>
    <w:p>
      <w:pPr>
        <w:ind w:firstLine="640" w:firstLineChars="200"/>
        <w:jc w:val="left"/>
        <w:rPr>
          <w:rFonts w:ascii="仿宋_GB2312" w:hAnsi="仿宋" w:cs="仿宋"/>
          <w:color w:val="000000"/>
          <w:sz w:val="32"/>
          <w:szCs w:val="32"/>
        </w:rPr>
      </w:pPr>
      <w:r>
        <w:rPr>
          <w:rFonts w:ascii="仿宋_GB2312" w:hAnsi="仿宋" w:cs="仿宋"/>
          <w:color w:val="000000"/>
          <w:sz w:val="32"/>
          <w:szCs w:val="32"/>
        </w:rPr>
        <w:t>国家</w:t>
      </w:r>
      <w:r>
        <w:rPr>
          <w:rFonts w:hint="eastAsia" w:ascii="仿宋_GB2312" w:hAnsi="仿宋" w:cs="仿宋"/>
          <w:color w:val="000000"/>
          <w:sz w:val="32"/>
          <w:szCs w:val="32"/>
        </w:rPr>
        <w:t>“</w:t>
      </w:r>
      <w:r>
        <w:rPr>
          <w:rFonts w:ascii="仿宋_GB2312" w:hAnsi="仿宋" w:cs="仿宋"/>
          <w:color w:val="000000"/>
          <w:sz w:val="32"/>
          <w:szCs w:val="32"/>
        </w:rPr>
        <w:t>双高计划</w:t>
      </w:r>
      <w:r>
        <w:rPr>
          <w:rFonts w:hint="eastAsia" w:ascii="仿宋_GB2312" w:hAnsi="仿宋" w:cs="仿宋"/>
          <w:color w:val="000000"/>
          <w:sz w:val="32"/>
          <w:szCs w:val="32"/>
        </w:rPr>
        <w:t>”</w:t>
      </w:r>
      <w:r>
        <w:rPr>
          <w:rFonts w:ascii="仿宋_GB2312" w:hAnsi="仿宋" w:cs="仿宋"/>
          <w:color w:val="000000"/>
          <w:sz w:val="32"/>
          <w:szCs w:val="32"/>
        </w:rPr>
        <w:t>建设学校</w:t>
      </w:r>
      <w:r>
        <w:rPr>
          <w:rFonts w:hint="eastAsia" w:ascii="仿宋_GB2312" w:hAnsi="仿宋" w:cs="仿宋"/>
          <w:color w:val="000000"/>
          <w:sz w:val="32"/>
          <w:szCs w:val="32"/>
        </w:rPr>
        <w:t>、本科职业学校</w:t>
      </w:r>
      <w:r>
        <w:rPr>
          <w:rFonts w:ascii="仿宋_GB2312" w:hAnsi="仿宋" w:cs="仿宋"/>
          <w:color w:val="000000"/>
          <w:sz w:val="32"/>
          <w:szCs w:val="32"/>
        </w:rPr>
        <w:t>限报</w:t>
      </w:r>
      <w:r>
        <w:rPr>
          <w:rFonts w:hint="eastAsia" w:ascii="仿宋_GB2312" w:hAnsi="仿宋" w:cs="仿宋"/>
          <w:color w:val="000000"/>
          <w:sz w:val="32"/>
          <w:szCs w:val="32"/>
        </w:rPr>
        <w:t>8项</w:t>
      </w:r>
      <w:r>
        <w:rPr>
          <w:rFonts w:ascii="仿宋_GB2312" w:hAnsi="仿宋" w:cs="仿宋"/>
          <w:color w:val="000000"/>
          <w:sz w:val="32"/>
          <w:szCs w:val="32"/>
        </w:rPr>
        <w:t>，省级</w:t>
      </w:r>
      <w:r>
        <w:rPr>
          <w:rFonts w:hint="eastAsia" w:ascii="仿宋_GB2312" w:hAnsi="仿宋" w:cs="仿宋"/>
          <w:color w:val="000000"/>
          <w:sz w:val="32"/>
          <w:szCs w:val="32"/>
        </w:rPr>
        <w:t>“</w:t>
      </w:r>
      <w:r>
        <w:rPr>
          <w:rFonts w:ascii="仿宋_GB2312" w:hAnsi="仿宋" w:cs="仿宋"/>
          <w:color w:val="000000"/>
          <w:sz w:val="32"/>
          <w:szCs w:val="32"/>
        </w:rPr>
        <w:t>双高工程</w:t>
      </w:r>
      <w:r>
        <w:rPr>
          <w:rFonts w:hint="eastAsia" w:ascii="仿宋_GB2312" w:hAnsi="仿宋" w:cs="仿宋"/>
          <w:color w:val="000000"/>
          <w:sz w:val="32"/>
          <w:szCs w:val="32"/>
        </w:rPr>
        <w:t>”</w:t>
      </w:r>
      <w:r>
        <w:rPr>
          <w:rFonts w:ascii="仿宋_GB2312" w:hAnsi="仿宋" w:cs="仿宋"/>
          <w:color w:val="000000"/>
          <w:sz w:val="32"/>
          <w:szCs w:val="32"/>
        </w:rPr>
        <w:t>建设学校</w:t>
      </w:r>
      <w:r>
        <w:rPr>
          <w:rFonts w:hint="eastAsia" w:ascii="仿宋_GB2312" w:hAnsi="仿宋" w:cs="仿宋"/>
          <w:color w:val="000000"/>
          <w:sz w:val="32"/>
          <w:szCs w:val="32"/>
        </w:rPr>
        <w:t>（指34所学校）</w:t>
      </w:r>
      <w:r>
        <w:rPr>
          <w:rFonts w:ascii="仿宋_GB2312" w:hAnsi="仿宋" w:cs="仿宋"/>
          <w:color w:val="000000"/>
          <w:sz w:val="32"/>
          <w:szCs w:val="32"/>
        </w:rPr>
        <w:t>限报</w:t>
      </w:r>
      <w:r>
        <w:rPr>
          <w:rFonts w:hint="eastAsia" w:ascii="仿宋_GB2312" w:hAnsi="仿宋" w:cs="仿宋"/>
          <w:color w:val="000000"/>
          <w:sz w:val="32"/>
          <w:szCs w:val="32"/>
        </w:rPr>
        <w:t>6项</w:t>
      </w:r>
      <w:r>
        <w:rPr>
          <w:rFonts w:ascii="仿宋_GB2312" w:hAnsi="仿宋" w:cs="仿宋"/>
          <w:color w:val="000000"/>
          <w:sz w:val="32"/>
          <w:szCs w:val="32"/>
        </w:rPr>
        <w:t>，其他学校限报4项。</w:t>
      </w:r>
    </w:p>
    <w:p>
      <w:pPr>
        <w:ind w:firstLine="640" w:firstLineChars="200"/>
        <w:jc w:val="left"/>
        <w:rPr>
          <w:rFonts w:ascii="仿宋_GB2312" w:hAnsi="仿宋" w:cs="仿宋"/>
          <w:color w:val="000000"/>
          <w:sz w:val="32"/>
          <w:szCs w:val="32"/>
        </w:rPr>
      </w:pPr>
      <w:r>
        <w:rPr>
          <w:rFonts w:ascii="仿宋_GB2312" w:hAnsi="仿宋" w:cs="仿宋"/>
          <w:color w:val="000000"/>
          <w:sz w:val="32"/>
          <w:szCs w:val="32"/>
        </w:rPr>
        <w:t>各</w:t>
      </w:r>
      <w:r>
        <w:rPr>
          <w:rFonts w:hint="eastAsia" w:ascii="仿宋_GB2312" w:hAnsi="仿宋" w:cs="仿宋"/>
          <w:color w:val="000000"/>
          <w:sz w:val="32"/>
          <w:szCs w:val="32"/>
        </w:rPr>
        <w:t>学校</w:t>
      </w:r>
      <w:r>
        <w:rPr>
          <w:rFonts w:ascii="仿宋_GB2312" w:hAnsi="仿宋" w:cs="仿宋"/>
          <w:color w:val="000000"/>
          <w:sz w:val="32"/>
          <w:szCs w:val="32"/>
        </w:rPr>
        <w:t>在组织</w:t>
      </w:r>
      <w:r>
        <w:rPr>
          <w:rFonts w:hint="eastAsia" w:ascii="仿宋_GB2312" w:hAnsi="仿宋" w:cs="仿宋"/>
          <w:color w:val="000000"/>
          <w:sz w:val="32"/>
          <w:szCs w:val="32"/>
        </w:rPr>
        <w:t>学校</w:t>
      </w:r>
      <w:r>
        <w:rPr>
          <w:rFonts w:ascii="仿宋_GB2312" w:hAnsi="仿宋" w:cs="仿宋"/>
          <w:color w:val="000000"/>
          <w:sz w:val="32"/>
          <w:szCs w:val="32"/>
        </w:rPr>
        <w:t>竞赛的基础上，</w:t>
      </w:r>
      <w:r>
        <w:rPr>
          <w:rFonts w:hint="eastAsia" w:ascii="仿宋_GB2312" w:hAnsi="仿宋" w:cs="仿宋"/>
          <w:color w:val="000000"/>
          <w:sz w:val="32"/>
          <w:szCs w:val="32"/>
        </w:rPr>
        <w:t>择优</w:t>
      </w:r>
      <w:r>
        <w:rPr>
          <w:rFonts w:ascii="仿宋_GB2312" w:hAnsi="仿宋" w:cs="仿宋"/>
          <w:color w:val="000000"/>
          <w:sz w:val="32"/>
          <w:szCs w:val="32"/>
        </w:rPr>
        <w:t>推荐作品</w:t>
      </w:r>
      <w:r>
        <w:rPr>
          <w:rFonts w:hint="eastAsia" w:ascii="仿宋_GB2312" w:hAnsi="仿宋" w:cs="仿宋"/>
          <w:color w:val="000000"/>
          <w:sz w:val="32"/>
          <w:szCs w:val="32"/>
        </w:rPr>
        <w:t>参加省赛</w:t>
      </w:r>
      <w:r>
        <w:rPr>
          <w:rFonts w:ascii="仿宋_GB2312" w:hAnsi="仿宋" w:cs="仿宋"/>
          <w:color w:val="000000"/>
          <w:sz w:val="32"/>
          <w:szCs w:val="32"/>
        </w:rPr>
        <w:t>。</w:t>
      </w:r>
      <w:r>
        <w:rPr>
          <w:rFonts w:hint="eastAsia" w:ascii="仿宋_GB2312" w:hAnsi="仿宋" w:cs="仿宋"/>
          <w:color w:val="000000"/>
          <w:sz w:val="32"/>
          <w:szCs w:val="32"/>
        </w:rPr>
        <w:t>报名时，每学校每组别须不少于1件，同时符合：</w:t>
      </w:r>
    </w:p>
    <w:p>
      <w:pPr>
        <w:ind w:firstLine="640" w:firstLineChars="200"/>
        <w:jc w:val="left"/>
        <w:rPr>
          <w:rFonts w:ascii="仿宋_GB2312" w:hAnsi="仿宋" w:cs="仿宋"/>
          <w:color w:val="000000"/>
          <w:sz w:val="32"/>
          <w:szCs w:val="32"/>
        </w:rPr>
      </w:pPr>
      <w:r>
        <w:rPr>
          <w:rFonts w:ascii="仿宋_GB2312" w:hAnsi="仿宋" w:cs="仿宋"/>
          <w:color w:val="000000"/>
          <w:sz w:val="32"/>
          <w:szCs w:val="32"/>
        </w:rPr>
        <w:t>1.公共基础课程组限额</w:t>
      </w:r>
      <w:r>
        <w:rPr>
          <w:rFonts w:hint="eastAsia" w:ascii="仿宋_GB2312" w:hAnsi="仿宋" w:cs="仿宋"/>
          <w:color w:val="000000"/>
          <w:sz w:val="32"/>
          <w:szCs w:val="32"/>
        </w:rPr>
        <w:t>3</w:t>
      </w:r>
      <w:r>
        <w:rPr>
          <w:rFonts w:ascii="仿宋_GB2312" w:hAnsi="仿宋" w:cs="仿宋"/>
          <w:color w:val="000000"/>
          <w:sz w:val="32"/>
          <w:szCs w:val="32"/>
        </w:rPr>
        <w:t>件，同一门课程上限为1个作品；</w:t>
      </w:r>
    </w:p>
    <w:p>
      <w:pPr>
        <w:ind w:firstLine="640" w:firstLineChars="200"/>
        <w:jc w:val="left"/>
        <w:rPr>
          <w:rFonts w:ascii="仿宋_GB2312" w:hAnsi="仿宋" w:cs="仿宋"/>
          <w:color w:val="000000"/>
          <w:sz w:val="32"/>
          <w:szCs w:val="32"/>
        </w:rPr>
      </w:pPr>
      <w:r>
        <w:rPr>
          <w:rFonts w:ascii="仿宋_GB2312" w:hAnsi="仿宋" w:cs="仿宋"/>
          <w:color w:val="000000"/>
          <w:sz w:val="32"/>
          <w:szCs w:val="32"/>
        </w:rPr>
        <w:t>2.专业课程一组限额</w:t>
      </w:r>
      <w:r>
        <w:rPr>
          <w:rFonts w:hint="eastAsia" w:ascii="仿宋_GB2312" w:hAnsi="仿宋" w:cs="仿宋"/>
          <w:color w:val="000000"/>
          <w:sz w:val="32"/>
          <w:szCs w:val="32"/>
        </w:rPr>
        <w:t>5</w:t>
      </w:r>
      <w:r>
        <w:rPr>
          <w:rFonts w:ascii="仿宋_GB2312" w:hAnsi="仿宋" w:cs="仿宋"/>
          <w:color w:val="000000"/>
          <w:sz w:val="32"/>
          <w:szCs w:val="32"/>
        </w:rPr>
        <w:t>件；</w:t>
      </w:r>
    </w:p>
    <w:p>
      <w:pPr>
        <w:ind w:firstLine="640" w:firstLineChars="200"/>
        <w:jc w:val="left"/>
        <w:rPr>
          <w:rFonts w:ascii="仿宋_GB2312" w:hAnsi="仿宋" w:cs="仿宋"/>
          <w:color w:val="000000"/>
          <w:sz w:val="32"/>
          <w:szCs w:val="32"/>
        </w:rPr>
      </w:pPr>
      <w:r>
        <w:rPr>
          <w:rFonts w:ascii="仿宋_GB2312" w:hAnsi="仿宋" w:cs="仿宋"/>
          <w:color w:val="000000"/>
          <w:sz w:val="32"/>
          <w:szCs w:val="32"/>
        </w:rPr>
        <w:t>3.专业课程二组限额</w:t>
      </w:r>
      <w:r>
        <w:rPr>
          <w:rFonts w:hint="eastAsia" w:ascii="仿宋_GB2312" w:hAnsi="仿宋" w:cs="仿宋"/>
          <w:color w:val="000000"/>
          <w:sz w:val="32"/>
          <w:szCs w:val="32"/>
        </w:rPr>
        <w:t>3</w:t>
      </w:r>
      <w:r>
        <w:rPr>
          <w:rFonts w:ascii="仿宋_GB2312" w:hAnsi="仿宋" w:cs="仿宋"/>
          <w:color w:val="000000"/>
          <w:sz w:val="32"/>
          <w:szCs w:val="32"/>
        </w:rPr>
        <w:t>件。</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公共基础课程组作品不能出现课程的重复，专业（技能）课程（包括一组和二组）作品不能出现专业类的重复（按照《职业教育专业目录（</w:t>
      </w:r>
      <w:r>
        <w:rPr>
          <w:rFonts w:ascii="仿宋_GB2312" w:hAnsi="仿宋" w:cs="仿宋"/>
          <w:color w:val="000000"/>
          <w:sz w:val="32"/>
          <w:szCs w:val="32"/>
        </w:rPr>
        <w:t>2021</w:t>
      </w:r>
      <w:r>
        <w:rPr>
          <w:rFonts w:hint="eastAsia" w:ascii="仿宋_GB2312" w:hAnsi="仿宋" w:cs="仿宋"/>
          <w:color w:val="000000"/>
          <w:sz w:val="32"/>
          <w:szCs w:val="32"/>
        </w:rPr>
        <w:t>年）》完成新旧专业对照）。</w:t>
      </w:r>
    </w:p>
    <w:p>
      <w:pPr>
        <w:overflowPunct w:val="0"/>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（二）名额增减</w:t>
      </w:r>
    </w:p>
    <w:p>
      <w:pPr>
        <w:ind w:firstLine="640" w:firstLineChars="200"/>
        <w:jc w:val="left"/>
        <w:rPr>
          <w:rFonts w:ascii="仿宋_GB2312" w:hAnsi="仿宋" w:cs="仿宋"/>
          <w:color w:val="000000"/>
          <w:sz w:val="32"/>
          <w:szCs w:val="32"/>
        </w:rPr>
      </w:pPr>
      <w:r>
        <w:rPr>
          <w:rFonts w:ascii="仿宋_GB2312" w:hAnsi="仿宋" w:cs="仿宋"/>
          <w:color w:val="000000"/>
          <w:sz w:val="32"/>
          <w:szCs w:val="32"/>
        </w:rPr>
        <w:t>2019</w:t>
      </w:r>
      <w:r>
        <w:rPr>
          <w:rFonts w:hint="eastAsia" w:ascii="仿宋_GB2312" w:hAnsi="仿宋" w:cs="仿宋"/>
          <w:color w:val="000000"/>
          <w:sz w:val="32"/>
          <w:szCs w:val="32"/>
        </w:rPr>
        <w:t>至</w:t>
      </w:r>
      <w:r>
        <w:rPr>
          <w:rFonts w:ascii="仿宋_GB2312" w:hAnsi="仿宋" w:cs="仿宋"/>
          <w:color w:val="000000"/>
          <w:sz w:val="32"/>
          <w:szCs w:val="32"/>
        </w:rPr>
        <w:t>202</w:t>
      </w:r>
      <w:r>
        <w:rPr>
          <w:rFonts w:hint="eastAsia" w:ascii="仿宋_GB2312" w:hAnsi="仿宋" w:cs="仿宋"/>
          <w:color w:val="000000"/>
          <w:sz w:val="32"/>
          <w:szCs w:val="32"/>
        </w:rPr>
        <w:t>2</w:t>
      </w:r>
      <w:r>
        <w:rPr>
          <w:rFonts w:ascii="仿宋_GB2312" w:hAnsi="仿宋" w:cs="仿宋"/>
          <w:color w:val="000000"/>
          <w:sz w:val="32"/>
          <w:szCs w:val="32"/>
        </w:rPr>
        <w:t>年全国职业院校技能大赛教学能力比赛获奖学校，增加1个参赛名额（同组别）；2019</w:t>
      </w:r>
      <w:r>
        <w:rPr>
          <w:rFonts w:hint="eastAsia" w:ascii="仿宋_GB2312" w:hAnsi="仿宋" w:cs="仿宋"/>
          <w:color w:val="000000"/>
          <w:sz w:val="32"/>
          <w:szCs w:val="32"/>
        </w:rPr>
        <w:t>至</w:t>
      </w:r>
      <w:r>
        <w:rPr>
          <w:rFonts w:ascii="仿宋_GB2312" w:hAnsi="仿宋" w:cs="仿宋"/>
          <w:color w:val="000000"/>
          <w:sz w:val="32"/>
          <w:szCs w:val="32"/>
        </w:rPr>
        <w:t>202</w:t>
      </w:r>
      <w:r>
        <w:rPr>
          <w:rFonts w:hint="eastAsia" w:ascii="仿宋_GB2312" w:hAnsi="仿宋" w:cs="仿宋"/>
          <w:color w:val="000000"/>
          <w:sz w:val="32"/>
          <w:szCs w:val="32"/>
        </w:rPr>
        <w:t>2</w:t>
      </w:r>
      <w:r>
        <w:rPr>
          <w:rFonts w:ascii="仿宋_GB2312" w:hAnsi="仿宋" w:cs="仿宋"/>
          <w:color w:val="000000"/>
          <w:sz w:val="32"/>
          <w:szCs w:val="32"/>
        </w:rPr>
        <w:t>年曾获全国职业院校技能大赛教学能力比赛一等奖的学校，再增加1个参赛名额（不限组别）。</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自</w:t>
      </w:r>
      <w:r>
        <w:rPr>
          <w:rFonts w:ascii="仿宋_GB2312" w:hAnsi="仿宋" w:cs="仿宋"/>
          <w:color w:val="000000"/>
          <w:sz w:val="32"/>
          <w:szCs w:val="32"/>
        </w:rPr>
        <w:t>2019</w:t>
      </w:r>
      <w:r>
        <w:rPr>
          <w:rFonts w:hint="eastAsia" w:ascii="仿宋_GB2312" w:hAnsi="仿宋" w:cs="仿宋"/>
          <w:color w:val="000000"/>
          <w:sz w:val="32"/>
          <w:szCs w:val="32"/>
        </w:rPr>
        <w:t>至</w:t>
      </w:r>
      <w:r>
        <w:rPr>
          <w:rFonts w:ascii="仿宋_GB2312" w:hAnsi="仿宋" w:cs="仿宋"/>
          <w:color w:val="000000"/>
          <w:sz w:val="32"/>
          <w:szCs w:val="32"/>
        </w:rPr>
        <w:t>202</w:t>
      </w:r>
      <w:r>
        <w:rPr>
          <w:rFonts w:hint="eastAsia" w:ascii="仿宋_GB2312" w:hAnsi="仿宋" w:cs="仿宋"/>
          <w:color w:val="000000"/>
          <w:sz w:val="32"/>
          <w:szCs w:val="32"/>
        </w:rPr>
        <w:t>2</w:t>
      </w:r>
      <w:r>
        <w:rPr>
          <w:rFonts w:ascii="仿宋_GB2312" w:hAnsi="仿宋" w:cs="仿宋"/>
          <w:color w:val="000000"/>
          <w:sz w:val="32"/>
          <w:szCs w:val="32"/>
        </w:rPr>
        <w:t>年</w:t>
      </w:r>
      <w:r>
        <w:rPr>
          <w:rFonts w:hint="eastAsia" w:ascii="仿宋_GB2312" w:hAnsi="仿宋" w:cs="仿宋"/>
          <w:color w:val="000000"/>
          <w:sz w:val="32"/>
          <w:szCs w:val="32"/>
        </w:rPr>
        <w:t>参加省级竞赛，连续3年未满额</w:t>
      </w:r>
      <w:r>
        <w:rPr>
          <w:rFonts w:ascii="仿宋_GB2312" w:hAnsi="仿宋" w:cs="仿宋"/>
          <w:color w:val="000000"/>
          <w:sz w:val="32"/>
          <w:szCs w:val="32"/>
        </w:rPr>
        <w:t>参赛</w:t>
      </w:r>
      <w:r>
        <w:rPr>
          <w:rFonts w:hint="eastAsia" w:ascii="仿宋_GB2312" w:hAnsi="仿宋" w:cs="仿宋"/>
          <w:color w:val="000000"/>
          <w:sz w:val="32"/>
          <w:szCs w:val="32"/>
        </w:rPr>
        <w:t>的学校和连续2年</w:t>
      </w:r>
      <w:r>
        <w:rPr>
          <w:rFonts w:ascii="仿宋_GB2312" w:hAnsi="仿宋" w:cs="仿宋"/>
          <w:color w:val="000000"/>
          <w:sz w:val="32"/>
          <w:szCs w:val="32"/>
        </w:rPr>
        <w:t>参赛</w:t>
      </w:r>
      <w:r>
        <w:rPr>
          <w:rFonts w:hint="eastAsia" w:ascii="仿宋_GB2312" w:hAnsi="仿宋" w:cs="仿宋"/>
          <w:color w:val="000000"/>
          <w:sz w:val="32"/>
          <w:szCs w:val="32"/>
        </w:rPr>
        <w:t>不足半额的学校，减少</w:t>
      </w:r>
      <w:r>
        <w:rPr>
          <w:rFonts w:ascii="仿宋_GB2312" w:hAnsi="仿宋" w:cs="仿宋"/>
          <w:color w:val="000000"/>
          <w:sz w:val="32"/>
          <w:szCs w:val="32"/>
        </w:rPr>
        <w:t>1个参赛名额</w:t>
      </w:r>
      <w:r>
        <w:rPr>
          <w:rFonts w:hint="eastAsia" w:ascii="仿宋_GB2312" w:hAnsi="仿宋" w:cs="仿宋"/>
          <w:color w:val="000000"/>
          <w:sz w:val="32"/>
          <w:szCs w:val="32"/>
        </w:rPr>
        <w:t>；连续3年</w:t>
      </w:r>
      <w:r>
        <w:rPr>
          <w:rFonts w:ascii="仿宋_GB2312" w:hAnsi="仿宋" w:cs="仿宋"/>
          <w:color w:val="000000"/>
          <w:sz w:val="32"/>
          <w:szCs w:val="32"/>
        </w:rPr>
        <w:t>参赛</w:t>
      </w:r>
      <w:r>
        <w:rPr>
          <w:rFonts w:hint="eastAsia" w:ascii="仿宋_GB2312" w:hAnsi="仿宋" w:cs="仿宋"/>
          <w:color w:val="000000"/>
          <w:sz w:val="32"/>
          <w:szCs w:val="32"/>
        </w:rPr>
        <w:t>不足半额的学校，减少2</w:t>
      </w:r>
      <w:r>
        <w:rPr>
          <w:rFonts w:ascii="仿宋_GB2312" w:hAnsi="仿宋" w:cs="仿宋"/>
          <w:color w:val="000000"/>
          <w:sz w:val="32"/>
          <w:szCs w:val="32"/>
        </w:rPr>
        <w:t>个参赛名额</w:t>
      </w:r>
      <w:r>
        <w:rPr>
          <w:rFonts w:hint="eastAsia" w:ascii="仿宋_GB2312" w:hAnsi="仿宋" w:cs="仿宋"/>
          <w:color w:val="000000"/>
          <w:sz w:val="32"/>
          <w:szCs w:val="32"/>
        </w:rPr>
        <w:t>；连续3年未</w:t>
      </w:r>
      <w:r>
        <w:rPr>
          <w:rFonts w:ascii="仿宋_GB2312" w:hAnsi="仿宋" w:cs="仿宋"/>
          <w:color w:val="000000"/>
          <w:sz w:val="32"/>
          <w:szCs w:val="32"/>
        </w:rPr>
        <w:t>参赛</w:t>
      </w:r>
      <w:r>
        <w:rPr>
          <w:rFonts w:hint="eastAsia" w:ascii="仿宋_GB2312" w:hAnsi="仿宋" w:cs="仿宋"/>
          <w:color w:val="000000"/>
          <w:sz w:val="32"/>
          <w:szCs w:val="32"/>
        </w:rPr>
        <w:t>的学校，减少3</w:t>
      </w:r>
      <w:r>
        <w:rPr>
          <w:rFonts w:ascii="仿宋_GB2312" w:hAnsi="仿宋" w:cs="仿宋"/>
          <w:color w:val="000000"/>
          <w:sz w:val="32"/>
          <w:szCs w:val="32"/>
        </w:rPr>
        <w:t>个参赛名额</w:t>
      </w:r>
      <w:r>
        <w:rPr>
          <w:rFonts w:hint="eastAsia" w:ascii="仿宋_GB2312" w:hAnsi="仿宋" w:cs="仿宋"/>
          <w:color w:val="000000"/>
          <w:sz w:val="32"/>
          <w:szCs w:val="32"/>
        </w:rPr>
        <w:t>。</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在学校报送的材料中出现泄漏学校、参赛教师信息等情况，将减少该学校参赛名额。对发生严重抄袭等现象的学校，将予以通报直至取消学校参赛资格。</w:t>
      </w:r>
    </w:p>
    <w:p>
      <w:pPr>
        <w:overflowPunct w:val="0"/>
        <w:ind w:firstLine="640" w:firstLineChars="200"/>
        <w:outlineLvl w:val="0"/>
        <w:rPr>
          <w:rFonts w:ascii="黑体" w:hAnsi="黑体" w:eastAsia="黑体"/>
          <w:color w:val="000000"/>
          <w:sz w:val="32"/>
          <w:szCs w:val="32"/>
        </w:rPr>
      </w:pPr>
      <w:r>
        <w:rPr>
          <w:rFonts w:hint="eastAsia" w:ascii="黑体" w:hAnsi="黑体" w:eastAsia="黑体"/>
          <w:color w:val="000000"/>
          <w:sz w:val="32"/>
          <w:szCs w:val="32"/>
        </w:rPr>
        <w:t>二、省级竞赛报名要求</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按照国赛分组要求进行报名。</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1.公共基础课程组：参赛作品应为公共基础课程中不少于12学时连续、完整的教学内容。</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2.专业课程一组：参赛作品应为专业基础课程或专业核心课程或专业拓展课程中不少于16学时连续、完整的教学内容。</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3.专业课程二组：参赛作品应为专业核心课程或专业拓展课程中不少于16学时连续、完整的教学内容，其中必须包含不少于6学时的实训教学内容。职业院校专业（类）顶岗实习标准中的实习项目工作任务也可参赛。</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五年制高职后二年课程以及本科层次职业教育试点学校课程参加高等职业教育组竞赛。</w:t>
      </w:r>
    </w:p>
    <w:p>
      <w:pPr>
        <w:overflowPunct w:val="0"/>
        <w:ind w:firstLine="640" w:firstLineChars="200"/>
        <w:outlineLvl w:val="0"/>
        <w:rPr>
          <w:rFonts w:ascii="黑体" w:hAnsi="黑体" w:eastAsia="黑体"/>
          <w:color w:val="000000"/>
          <w:sz w:val="32"/>
          <w:szCs w:val="32"/>
        </w:rPr>
      </w:pPr>
      <w:r>
        <w:rPr>
          <w:rFonts w:hint="eastAsia" w:ascii="黑体" w:hAnsi="黑体" w:eastAsia="黑体"/>
          <w:color w:val="000000"/>
          <w:sz w:val="32"/>
          <w:szCs w:val="32"/>
        </w:rPr>
        <w:t>三、省级竞赛分组</w:t>
      </w:r>
    </w:p>
    <w:p>
      <w:pPr>
        <w:ind w:firstLine="640" w:firstLineChars="200"/>
        <w:rPr>
          <w:rFonts w:ascii="仿宋_GB2312" w:hAnsi="仿宋" w:cs="仿宋"/>
          <w:color w:val="000000"/>
          <w:sz w:val="32"/>
          <w:szCs w:val="32"/>
        </w:rPr>
      </w:pPr>
      <w:r>
        <w:rPr>
          <w:rFonts w:ascii="仿宋_GB2312" w:hAnsi="仿宋" w:cs="仿宋"/>
          <w:color w:val="000000"/>
          <w:sz w:val="32"/>
          <w:szCs w:val="32"/>
        </w:rPr>
        <w:t>公共基础课程组</w:t>
      </w:r>
      <w:r>
        <w:rPr>
          <w:rFonts w:hint="eastAsia" w:ascii="仿宋_GB2312" w:hAnsi="仿宋" w:cs="仿宋"/>
          <w:color w:val="000000"/>
          <w:sz w:val="32"/>
          <w:szCs w:val="32"/>
        </w:rPr>
        <w:t>省级竞赛与报名分组相同，按照课程相同或相近同场次进行现场竞赛。</w:t>
      </w:r>
    </w:p>
    <w:p>
      <w:pPr>
        <w:ind w:firstLine="640" w:firstLineChars="200"/>
        <w:rPr>
          <w:rFonts w:ascii="仿宋_GB2312" w:hAnsi="仿宋" w:cs="仿宋"/>
          <w:color w:val="000000"/>
          <w:sz w:val="32"/>
          <w:szCs w:val="32"/>
        </w:rPr>
      </w:pPr>
      <w:r>
        <w:rPr>
          <w:rFonts w:hint="eastAsia" w:ascii="仿宋_GB2312" w:hAnsi="仿宋" w:cs="仿宋"/>
          <w:color w:val="000000"/>
          <w:sz w:val="32"/>
          <w:szCs w:val="32"/>
        </w:rPr>
        <w:t>专业课程一组、专业课程二组省级竞赛按照《专业目录》中的专业类（不是专业大类）分为理工农医类课程组、文史财经类课程组进行现场竞赛。</w:t>
      </w:r>
    </w:p>
    <w:p>
      <w:pPr>
        <w:ind w:firstLine="640" w:firstLineChars="200"/>
        <w:rPr>
          <w:rFonts w:ascii="仿宋_GB2312" w:hAnsi="仿宋" w:cs="仿宋"/>
          <w:color w:val="000000"/>
          <w:sz w:val="32"/>
          <w:szCs w:val="32"/>
        </w:rPr>
      </w:pPr>
      <w:r>
        <w:rPr>
          <w:rFonts w:hint="eastAsia" w:ascii="仿宋_GB2312" w:hAnsi="仿宋" w:cs="仿宋"/>
          <w:color w:val="000000"/>
          <w:sz w:val="32"/>
          <w:szCs w:val="32"/>
        </w:rPr>
        <w:t>理工农医类课程组。包括装备制造大类、电子信息大类、土木建筑大类、交通运输大类、资源环境与安全大类、能源动力与材料大类、生物与化工大类、水利大类、轻工纺织大类、医药卫生大类、食品药品与粮食大类、农林牧渔大类的专业类。</w:t>
      </w:r>
    </w:p>
    <w:p>
      <w:pPr>
        <w:ind w:firstLine="640" w:firstLineChars="200"/>
        <w:rPr>
          <w:rFonts w:ascii="仿宋_GB2312" w:hAnsi="仿宋" w:cs="Arial"/>
          <w:color w:val="000000"/>
          <w:sz w:val="32"/>
          <w:szCs w:val="32"/>
        </w:rPr>
      </w:pPr>
      <w:r>
        <w:rPr>
          <w:rFonts w:hint="eastAsia" w:ascii="仿宋_GB2312" w:hAnsi="仿宋" w:cs="仿宋"/>
          <w:color w:val="000000"/>
          <w:sz w:val="32"/>
          <w:szCs w:val="32"/>
        </w:rPr>
        <w:t>文史财经类课程组</w:t>
      </w:r>
      <w:r>
        <w:rPr>
          <w:rFonts w:hint="eastAsia" w:ascii="仿宋_GB2312" w:hAnsi="仿宋" w:cs="Arial"/>
          <w:color w:val="000000"/>
          <w:sz w:val="32"/>
          <w:szCs w:val="32"/>
        </w:rPr>
        <w:t>。包括财经商贸大类、旅游大类、教育与体育大类、文化艺术大类、公安与司法大类、公共管理与服务大类、新闻传播大类的专业类。</w:t>
      </w:r>
    </w:p>
    <w:p>
      <w:pPr>
        <w:ind w:firstLine="640" w:firstLineChars="200"/>
        <w:rPr>
          <w:rFonts w:ascii="仿宋_GB2312" w:hAnsi="仿宋" w:cs="Arial"/>
          <w:color w:val="000000"/>
          <w:sz w:val="32"/>
          <w:szCs w:val="32"/>
        </w:rPr>
      </w:pPr>
      <w:r>
        <w:rPr>
          <w:rFonts w:hint="eastAsia" w:ascii="仿宋_GB2312" w:hAnsi="仿宋" w:cs="Arial"/>
          <w:color w:val="000000"/>
          <w:sz w:val="32"/>
          <w:szCs w:val="32"/>
        </w:rPr>
        <w:t>若某个专业类因参赛教师过多，需要分场次进行现场竞赛，则按照参赛选手所在学校该专业或相近专业在2022年省赛成绩先后顺序，同组别平均分场次，并在最小时间间隔内进行现场竞赛。若某个专业类参赛教师较少，则按照专业大类或相近专业类同场次进行现场竞赛。</w:t>
      </w:r>
    </w:p>
    <w:p>
      <w:pPr>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四、省级竞赛程序</w:t>
      </w:r>
    </w:p>
    <w:p>
      <w:pPr>
        <w:ind w:firstLine="640" w:firstLineChars="200"/>
        <w:rPr>
          <w:rFonts w:ascii="仿宋_GB2312" w:hAnsi="仿宋" w:cs="仿宋"/>
          <w:color w:val="000000"/>
          <w:sz w:val="32"/>
          <w:szCs w:val="32"/>
        </w:rPr>
      </w:pPr>
      <w:r>
        <w:rPr>
          <w:rFonts w:hint="eastAsia" w:ascii="仿宋_GB2312" w:hAnsi="仿宋" w:cs="仿宋"/>
          <w:color w:val="000000"/>
          <w:sz w:val="32"/>
          <w:szCs w:val="32"/>
        </w:rPr>
        <w:t>教学能力大赛省级竞赛由初赛、现场竞赛、成果转化等组成。省级竞赛方案见附件。</w:t>
      </w:r>
    </w:p>
    <w:p>
      <w:pPr>
        <w:overflowPunct w:val="0"/>
        <w:ind w:firstLine="640" w:firstLineChars="200"/>
        <w:rPr>
          <w:rFonts w:ascii="仿宋_GB2312" w:hAnsi="仿宋" w:cs="仿宋"/>
          <w:color w:val="000000"/>
          <w:sz w:val="32"/>
          <w:szCs w:val="32"/>
        </w:rPr>
      </w:pPr>
      <w:r>
        <w:rPr>
          <w:rFonts w:hint="eastAsia" w:ascii="仿宋_GB2312" w:hAnsi="仿宋" w:cs="仿宋"/>
          <w:color w:val="000000"/>
          <w:sz w:val="32"/>
          <w:szCs w:val="32"/>
        </w:rPr>
        <w:t>1.初赛。由学校报送参赛作品，实行专家网上评选或集中评审的方式进行。初赛结果按照40%的比例进入现场竞赛。</w:t>
      </w:r>
    </w:p>
    <w:p>
      <w:pPr>
        <w:overflowPunct w:val="0"/>
        <w:ind w:firstLine="640" w:firstLineChars="200"/>
        <w:rPr>
          <w:rFonts w:ascii="仿宋_GB2312" w:hAnsi="仿宋" w:cs="仿宋"/>
          <w:color w:val="000000"/>
          <w:sz w:val="32"/>
          <w:szCs w:val="32"/>
        </w:rPr>
      </w:pPr>
      <w:r>
        <w:rPr>
          <w:rFonts w:hint="eastAsia" w:ascii="仿宋_GB2312" w:hAnsi="仿宋" w:cs="仿宋"/>
          <w:color w:val="000000"/>
          <w:sz w:val="32"/>
          <w:szCs w:val="32"/>
        </w:rPr>
        <w:t>2.现场竞赛。6月上旬举办。承办学校应在4、5月份安排赛前培训；加强赛中各项事务的服务与管理；赛事安排现场观摩直播，不进行网络直播；及时整理参赛文本材料、录制竞赛视频，准备赛后最大限度实现成果资源共享；安排竞赛同期活动（如论坛、讲座、报告会等）。</w:t>
      </w:r>
    </w:p>
    <w:p>
      <w:pPr>
        <w:overflowPunct w:val="0"/>
        <w:ind w:firstLine="640" w:firstLineChars="200"/>
        <w:rPr>
          <w:rFonts w:ascii="仿宋_GB2312" w:hAnsi="仿宋" w:cs="仿宋"/>
          <w:color w:val="000000"/>
          <w:sz w:val="32"/>
          <w:szCs w:val="32"/>
        </w:rPr>
      </w:pPr>
      <w:r>
        <w:rPr>
          <w:rFonts w:hint="eastAsia" w:ascii="仿宋_GB2312" w:hAnsi="仿宋" w:cs="仿宋"/>
          <w:color w:val="000000"/>
          <w:sz w:val="32"/>
          <w:szCs w:val="32"/>
        </w:rPr>
        <w:t>3.成果转化。主要包括：承办学校网站开辟专栏，对网上初评的优秀参赛作品进行网上展示；对现场竞赛的优秀视频作品进行网上分享；赛后举办竞赛研讨会，总结经验，查找问题，改进赛事。根据实际情况，省教育厅或委托承办学校在下半年适时组织部分省级竞赛一等奖获得者和近年我省国赛获奖者，开展全省巡讲展示（或分片区展示）活动等。</w:t>
      </w:r>
    </w:p>
    <w:p>
      <w:pPr>
        <w:ind w:firstLine="640" w:firstLineChars="200"/>
        <w:jc w:val="left"/>
        <w:rPr>
          <w:rFonts w:ascii="黑体" w:hAnsi="黑体" w:eastAsia="黑体"/>
          <w:color w:val="000000"/>
          <w:sz w:val="32"/>
          <w:szCs w:val="32"/>
        </w:rPr>
      </w:pPr>
      <w:r>
        <w:rPr>
          <w:rFonts w:hint="eastAsia" w:ascii="黑体" w:hAnsi="黑体" w:eastAsia="黑体"/>
          <w:color w:val="000000"/>
          <w:sz w:val="32"/>
          <w:szCs w:val="32"/>
        </w:rPr>
        <w:t>五、推荐参加国赛原则</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教学能力大赛省级现场竞赛同时是河南省参加2023年全国职业院校技能大赛教学能力比赛（简称：国赛）选拔赛。</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根据现行国赛方案要求的分组类别推荐参加国赛。公共基础课程组，省赛成绩课程门类第一名排名靠前者依次推荐参加国赛。专业课程组，在国赛竞赛内容要求基础上，省级现场竞赛按照教育部《职业教育专业目录（2021年）》（简称：《专业目录》）中的专业类（不是专业大类）分组竞赛，省赛成绩分别在国赛要求的专业课程一组、专业课程二组中排序，两组中各专业类第一名排名靠前者依次推荐参加国赛；两组中出现名次并列情况时，分数成绩较高者推荐参加国赛。</w:t>
      </w:r>
    </w:p>
    <w:p>
      <w:pPr>
        <w:ind w:firstLine="640" w:firstLineChars="200"/>
        <w:jc w:val="left"/>
        <w:rPr>
          <w:rFonts w:ascii="仿宋_GB2312" w:hAnsi="仿宋" w:cs="仿宋"/>
          <w:color w:val="000000"/>
          <w:sz w:val="32"/>
          <w:szCs w:val="32"/>
        </w:rPr>
      </w:pPr>
      <w:r>
        <w:rPr>
          <w:rFonts w:hint="eastAsia" w:ascii="仿宋_GB2312" w:hAnsi="仿宋" w:cs="仿宋"/>
          <w:color w:val="000000"/>
          <w:sz w:val="32"/>
          <w:szCs w:val="32"/>
        </w:rPr>
        <w:t>如遇国赛方案有较大变化，将根据实际调整参加国赛原则，或适当扩大比例举办国赛选拔赛。</w:t>
      </w:r>
    </w:p>
    <w:p>
      <w:pPr>
        <w:overflowPunct w:val="0"/>
        <w:ind w:firstLine="640" w:firstLineChars="200"/>
        <w:outlineLvl w:val="0"/>
        <w:rPr>
          <w:rFonts w:ascii="黑体" w:hAnsi="黑体" w:eastAsia="黑体"/>
          <w:color w:val="000000"/>
          <w:sz w:val="32"/>
          <w:szCs w:val="32"/>
          <w:lang w:val="en"/>
        </w:rPr>
      </w:pPr>
      <w:r>
        <w:rPr>
          <w:rFonts w:hint="eastAsia" w:ascii="黑体" w:hAnsi="黑体" w:eastAsia="黑体"/>
          <w:color w:val="000000"/>
          <w:sz w:val="32"/>
          <w:szCs w:val="32"/>
        </w:rPr>
        <w:t>六、省级竞赛材料报送</w:t>
      </w:r>
    </w:p>
    <w:p>
      <w:pPr>
        <w:overflowPunct w:val="0"/>
        <w:ind w:firstLine="640" w:firstLineChars="200"/>
        <w:rPr>
          <w:rFonts w:ascii="仿宋_GB2312" w:hAnsi="仿宋" w:cs="仿宋"/>
          <w:color w:val="000000"/>
          <w:sz w:val="32"/>
          <w:szCs w:val="32"/>
        </w:rPr>
      </w:pPr>
      <w:r>
        <w:rPr>
          <w:rFonts w:hint="eastAsia" w:ascii="仿宋_GB2312" w:hAnsi="仿宋" w:cs="仿宋"/>
          <w:color w:val="000000"/>
          <w:sz w:val="32"/>
          <w:szCs w:val="32"/>
        </w:rPr>
        <w:t>按照省级竞赛的竞赛分组报送材料。报送时，须同时明确所属国赛要求的专业课程一组、专业课程二组。</w:t>
      </w:r>
    </w:p>
    <w:p>
      <w:pPr>
        <w:ind w:firstLine="640" w:firstLineChars="200"/>
        <w:rPr>
          <w:rFonts w:ascii="仿宋_GB2312" w:hAnsi="华文仿宋"/>
          <w:color w:val="000000"/>
          <w:sz w:val="32"/>
          <w:szCs w:val="32"/>
        </w:rPr>
      </w:pPr>
      <w:r>
        <w:rPr>
          <w:rFonts w:hint="eastAsia" w:ascii="仿宋_GB2312" w:hAnsi="华文仿宋"/>
          <w:color w:val="000000"/>
          <w:sz w:val="32"/>
          <w:szCs w:val="32"/>
        </w:rPr>
        <w:t>纸质材料于5月20日前（以寄出时间为准）报送材料，逾期不再受理。纸质材料均为A4纸打印，电子材料邮件主题标明“学校+组别+姓名”，分类分组报送：</w:t>
      </w:r>
    </w:p>
    <w:p>
      <w:pPr>
        <w:ind w:firstLine="640" w:firstLineChars="200"/>
        <w:rPr>
          <w:rFonts w:ascii="仿宋_GB2312" w:hAnsi="华文仿宋"/>
          <w:color w:val="000000"/>
          <w:sz w:val="32"/>
          <w:szCs w:val="32"/>
        </w:rPr>
      </w:pPr>
      <w:r>
        <w:rPr>
          <w:rFonts w:hint="eastAsia" w:ascii="仿宋_GB2312" w:hAnsi="华文仿宋"/>
          <w:color w:val="000000"/>
          <w:sz w:val="32"/>
          <w:szCs w:val="32"/>
        </w:rPr>
        <w:t>公共基础课程组报送：郑州铁路职业技术学院教务处，邮寄地址：郑州市郑东新区前程路9号，邮编451460。联系人：余建勇，17637100635；电子邮箱：11129@zzrvtc.edu.cn。</w:t>
      </w:r>
    </w:p>
    <w:p>
      <w:pPr>
        <w:ind w:firstLine="640" w:firstLineChars="200"/>
        <w:rPr>
          <w:rFonts w:ascii="仿宋_GB2312" w:hAnsi="华文仿宋"/>
          <w:color w:val="000000"/>
          <w:sz w:val="32"/>
          <w:szCs w:val="32"/>
        </w:rPr>
      </w:pPr>
      <w:r>
        <w:rPr>
          <w:rFonts w:hint="eastAsia" w:ascii="仿宋_GB2312" w:hAnsi="华文仿宋"/>
          <w:color w:val="000000"/>
          <w:sz w:val="32"/>
          <w:szCs w:val="32"/>
        </w:rPr>
        <w:t>理工农医类课程组报送：黄河水利职业技术学院教务处，邮寄地址：开封市东京大道西段1号黄河水利职业技术学院教务处（5号实训馆2楼东SY5230房间），邮编：475004。联系人：邢广彦，电话：0371-23658034、13783785793；电子邮箱：hhsyjyk@163.com。</w:t>
      </w:r>
    </w:p>
    <w:p>
      <w:pPr>
        <w:ind w:firstLine="640" w:firstLineChars="200"/>
        <w:rPr>
          <w:rFonts w:ascii="仿宋_GB2312" w:hAnsi="华文仿宋"/>
          <w:color w:val="000000"/>
          <w:sz w:val="32"/>
          <w:szCs w:val="32"/>
        </w:rPr>
      </w:pPr>
      <w:r>
        <w:rPr>
          <w:rFonts w:hint="eastAsia" w:ascii="仿宋_GB2312" w:hAnsi="华文仿宋"/>
          <w:color w:val="000000"/>
          <w:sz w:val="32"/>
          <w:szCs w:val="32"/>
        </w:rPr>
        <w:t>文史财经类课程组报送：河南职业技术学院教务处，邮寄地址：郑州市金水区平安大道210号，邮编451460。联系人：娄松涛，13592509065；电子邮箱：41946584@qq.com。</w:t>
      </w:r>
    </w:p>
    <w:p>
      <w:pPr>
        <w:overflowPunct w:val="0"/>
        <w:ind w:firstLine="640" w:firstLineChars="200"/>
        <w:rPr>
          <w:rFonts w:ascii="仿宋_GB2312" w:hAnsi="仿宋" w:cs="仿宋"/>
          <w:color w:val="000000"/>
          <w:sz w:val="32"/>
          <w:szCs w:val="32"/>
        </w:rPr>
      </w:pPr>
    </w:p>
    <w:p>
      <w:pPr>
        <w:overflowPunct w:val="0"/>
        <w:ind w:left="2242" w:leftChars="214" w:hanging="1600" w:hangingChars="500"/>
        <w:rPr>
          <w:rFonts w:ascii="仿宋_GB2312" w:hAnsi="仿宋" w:cs="仿宋"/>
          <w:color w:val="000000"/>
          <w:sz w:val="32"/>
          <w:szCs w:val="32"/>
        </w:rPr>
      </w:pPr>
      <w:r>
        <w:rPr>
          <w:rFonts w:hint="eastAsia" w:ascii="仿宋_GB2312" w:hAnsi="仿宋" w:cs="仿宋"/>
          <w:color w:val="000000"/>
          <w:sz w:val="32"/>
          <w:szCs w:val="32"/>
        </w:rPr>
        <w:t>附件：1-1.2023年河南省高等职业教育教学能力大赛参赛报名表</w:t>
      </w:r>
    </w:p>
    <w:p>
      <w:pPr>
        <w:overflowPunct w:val="0"/>
        <w:ind w:left="2212" w:leftChars="524" w:hanging="640" w:hangingChars="200"/>
        <w:rPr>
          <w:rFonts w:ascii="仿宋_GB2312" w:hAnsi="仿宋" w:cs="仿宋"/>
          <w:color w:val="000000"/>
          <w:sz w:val="32"/>
          <w:szCs w:val="32"/>
        </w:rPr>
      </w:pPr>
      <w:r>
        <w:rPr>
          <w:rFonts w:hint="eastAsia" w:ascii="仿宋_GB2312" w:hAnsi="仿宋" w:cs="仿宋"/>
          <w:color w:val="000000"/>
          <w:sz w:val="32"/>
          <w:szCs w:val="32"/>
        </w:rPr>
        <w:t>1-2.2023年河南省高等职业教育教学能力大赛参赛汇总表</w:t>
      </w:r>
    </w:p>
    <w:p>
      <w:pPr>
        <w:overflowPunct w:val="0"/>
        <w:outlineLvl w:val="0"/>
        <w:rPr>
          <w:rFonts w:ascii="黑体" w:hAnsi="黑体" w:eastAsia="黑体"/>
          <w:color w:val="000000"/>
          <w:sz w:val="32"/>
          <w:szCs w:val="32"/>
        </w:rPr>
      </w:pPr>
      <w:r>
        <w:rPr>
          <w:rFonts w:hint="eastAsia" w:ascii="黑体" w:hAnsi="黑体" w:eastAsia="黑体"/>
          <w:color w:val="000000"/>
          <w:sz w:val="32"/>
          <w:szCs w:val="32"/>
        </w:rPr>
        <w:br w:type="page"/>
      </w:r>
      <w:r>
        <w:rPr>
          <w:rFonts w:hint="eastAsia" w:ascii="黑体" w:hAnsi="黑体" w:eastAsia="黑体"/>
          <w:color w:val="000000"/>
          <w:sz w:val="32"/>
        </w:rPr>
        <w:t>附件</w:t>
      </w:r>
      <w:r>
        <w:rPr>
          <w:rFonts w:hint="eastAsia" w:ascii="黑体" w:hAnsi="黑体" w:eastAsia="黑体"/>
          <w:color w:val="000000"/>
          <w:sz w:val="32"/>
          <w:szCs w:val="32"/>
        </w:rPr>
        <w:t>1-1</w:t>
      </w:r>
    </w:p>
    <w:p>
      <w:pPr>
        <w:overflowPunct w:val="0"/>
        <w:snapToGrid w:val="0"/>
        <w:jc w:val="center"/>
        <w:rPr>
          <w:rFonts w:eastAsia="方正小标宋简体"/>
          <w:color w:val="000000"/>
        </w:rPr>
      </w:pPr>
    </w:p>
    <w:p>
      <w:pPr>
        <w:overflowPunct w:val="0"/>
        <w:snapToGrid w:val="0"/>
        <w:jc w:val="center"/>
        <w:rPr>
          <w:rFonts w:ascii="方正小标宋简体" w:eastAsia="方正小标宋简体"/>
          <w:color w:val="000000"/>
          <w:sz w:val="44"/>
          <w:szCs w:val="44"/>
        </w:rPr>
      </w:pPr>
      <w:r>
        <w:rPr>
          <w:rFonts w:hint="eastAsia" w:ascii="方正小标宋简体" w:eastAsia="方正小标宋简体"/>
          <w:color w:val="000000"/>
          <w:sz w:val="44"/>
          <w:szCs w:val="44"/>
        </w:rPr>
        <w:t>2023年河南省高等职业教育教学能力大赛</w:t>
      </w:r>
    </w:p>
    <w:p>
      <w:pPr>
        <w:overflowPunct w:val="0"/>
        <w:snapToGrid w:val="0"/>
        <w:jc w:val="center"/>
        <w:rPr>
          <w:rFonts w:ascii="方正小标宋简体" w:eastAsia="方正小标宋简体"/>
          <w:color w:val="000000"/>
          <w:sz w:val="44"/>
          <w:szCs w:val="44"/>
        </w:rPr>
      </w:pPr>
      <w:r>
        <w:rPr>
          <w:rFonts w:hint="eastAsia" w:ascii="方正小标宋简体" w:eastAsia="方正小标宋简体"/>
          <w:color w:val="000000"/>
          <w:sz w:val="44"/>
          <w:szCs w:val="44"/>
        </w:rPr>
        <w:t>参赛报名表</w:t>
      </w:r>
    </w:p>
    <w:tbl>
      <w:tblPr>
        <w:tblStyle w:val="8"/>
        <w:tblW w:w="0" w:type="auto"/>
        <w:jc w:val="center"/>
        <w:tblLayout w:type="fixed"/>
        <w:tblCellMar>
          <w:top w:w="0" w:type="dxa"/>
          <w:left w:w="108" w:type="dxa"/>
          <w:bottom w:w="0" w:type="dxa"/>
          <w:right w:w="108" w:type="dxa"/>
        </w:tblCellMar>
      </w:tblPr>
      <w:tblGrid>
        <w:gridCol w:w="1701"/>
        <w:gridCol w:w="1276"/>
        <w:gridCol w:w="1361"/>
        <w:gridCol w:w="1446"/>
        <w:gridCol w:w="1871"/>
        <w:gridCol w:w="1134"/>
      </w:tblGrid>
      <w:tr>
        <w:tblPrEx>
          <w:tblCellMar>
            <w:top w:w="0" w:type="dxa"/>
            <w:left w:w="108" w:type="dxa"/>
            <w:bottom w:w="0" w:type="dxa"/>
            <w:right w:w="108" w:type="dxa"/>
          </w:tblCellMar>
        </w:tblPrEx>
        <w:trPr>
          <w:trHeight w:val="454" w:hRule="atLeast"/>
          <w:jc w:val="center"/>
        </w:trPr>
        <w:tc>
          <w:tcPr>
            <w:tcW w:w="8789" w:type="dxa"/>
            <w:gridSpan w:val="6"/>
            <w:tcBorders>
              <w:bottom w:val="single" w:color="auto" w:sz="4" w:space="0"/>
            </w:tcBorders>
            <w:tcMar>
              <w:left w:w="28" w:type="dxa"/>
              <w:right w:w="28" w:type="dxa"/>
            </w:tcMar>
            <w:vAlign w:val="center"/>
          </w:tcPr>
          <w:p>
            <w:pPr>
              <w:overflowPunct w:val="0"/>
              <w:jc w:val="center"/>
              <w:rPr>
                <w:rFonts w:ascii="黑体" w:hAnsi="黑体" w:eastAsia="黑体"/>
                <w:color w:val="000000"/>
                <w:sz w:val="28"/>
                <w:szCs w:val="28"/>
              </w:rPr>
            </w:pPr>
            <w:r>
              <w:rPr>
                <w:rFonts w:hint="eastAsia" w:ascii="黑体" w:hAnsi="黑体" w:eastAsia="黑体"/>
                <w:color w:val="000000"/>
                <w:sz w:val="28"/>
                <w:szCs w:val="28"/>
              </w:rPr>
              <w:t>参赛作品基本信息</w:t>
            </w:r>
          </w:p>
        </w:tc>
      </w:tr>
      <w:tr>
        <w:tblPrEx>
          <w:tblCellMar>
            <w:top w:w="0" w:type="dxa"/>
            <w:left w:w="108" w:type="dxa"/>
            <w:bottom w:w="0" w:type="dxa"/>
            <w:right w:w="108" w:type="dxa"/>
          </w:tblCellMar>
        </w:tblPrEx>
        <w:trPr>
          <w:trHeight w:val="454" w:hRule="atLeast"/>
          <w:jc w:val="center"/>
        </w:trPr>
        <w:tc>
          <w:tcPr>
            <w:tcW w:w="4338"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□中等职业教育组</w:t>
            </w:r>
          </w:p>
        </w:tc>
        <w:tc>
          <w:tcPr>
            <w:tcW w:w="4451"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□高等职业教育组</w:t>
            </w:r>
          </w:p>
        </w:tc>
      </w:tr>
      <w:tr>
        <w:tblPrEx>
          <w:tblCellMar>
            <w:top w:w="0" w:type="dxa"/>
            <w:left w:w="108" w:type="dxa"/>
            <w:bottom w:w="0" w:type="dxa"/>
            <w:right w:w="108" w:type="dxa"/>
          </w:tblCellMar>
        </w:tblPrEx>
        <w:trPr>
          <w:trHeight w:val="454" w:hRule="atLeast"/>
          <w:jc w:val="center"/>
        </w:trPr>
        <w:tc>
          <w:tcPr>
            <w:tcW w:w="297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□公共基础课程组</w:t>
            </w: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□专业（技能）课程一组</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□专业（技能）课程二组</w:t>
            </w:r>
          </w:p>
        </w:tc>
      </w:tr>
      <w:tr>
        <w:tblPrEx>
          <w:tblCellMar>
            <w:top w:w="0" w:type="dxa"/>
            <w:left w:w="108" w:type="dxa"/>
            <w:bottom w:w="0" w:type="dxa"/>
            <w:right w:w="108" w:type="dxa"/>
          </w:tblCellMar>
        </w:tblPrEx>
        <w:trPr>
          <w:trHeight w:val="454" w:hRule="atLeast"/>
          <w:jc w:val="center"/>
        </w:trPr>
        <w:tc>
          <w:tcPr>
            <w:tcW w:w="2977" w:type="dxa"/>
            <w:gridSpan w:val="2"/>
            <w:vMerge w:val="restart"/>
            <w:tcBorders>
              <w:top w:val="single" w:color="auto" w:sz="4" w:space="0"/>
              <w:left w:val="single" w:color="auto" w:sz="4" w:space="0"/>
              <w:right w:val="single" w:color="auto" w:sz="4" w:space="0"/>
              <w:tl2br w:val="single" w:color="auto" w:sz="4" w:space="0"/>
              <w:tr2bl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rPr>
                <w:rFonts w:ascii="仿宋_GB2312" w:hAnsi="仿宋_GB2312" w:cs="仿宋_GB2312"/>
                <w:color w:val="000000"/>
                <w:sz w:val="24"/>
                <w:szCs w:val="24"/>
              </w:rPr>
            </w:pPr>
            <w:r>
              <w:rPr>
                <w:rFonts w:hint="eastAsia" w:ascii="仿宋_GB2312" w:hAnsi="仿宋_GB2312" w:cs="仿宋_GB2312"/>
                <w:color w:val="000000"/>
                <w:sz w:val="24"/>
                <w:szCs w:val="24"/>
              </w:rPr>
              <w:t>专业名称：</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rPr>
                <w:rFonts w:ascii="仿宋_GB2312" w:hAnsi="仿宋_GB2312" w:cs="仿宋_GB2312"/>
                <w:color w:val="000000"/>
                <w:sz w:val="24"/>
                <w:szCs w:val="24"/>
              </w:rPr>
            </w:pPr>
            <w:r>
              <w:rPr>
                <w:rFonts w:hint="eastAsia" w:ascii="仿宋_GB2312" w:hAnsi="仿宋_GB2312" w:cs="仿宋_GB2312"/>
                <w:color w:val="000000"/>
                <w:sz w:val="24"/>
                <w:szCs w:val="24"/>
              </w:rPr>
              <w:t>专业名称：</w:t>
            </w:r>
          </w:p>
        </w:tc>
      </w:tr>
      <w:tr>
        <w:tblPrEx>
          <w:tblCellMar>
            <w:top w:w="0" w:type="dxa"/>
            <w:left w:w="108" w:type="dxa"/>
            <w:bottom w:w="0" w:type="dxa"/>
            <w:right w:w="108" w:type="dxa"/>
          </w:tblCellMar>
        </w:tblPrEx>
        <w:trPr>
          <w:trHeight w:val="454" w:hRule="atLeast"/>
          <w:jc w:val="center"/>
        </w:trPr>
        <w:tc>
          <w:tcPr>
            <w:tcW w:w="2977" w:type="dxa"/>
            <w:gridSpan w:val="2"/>
            <w:vMerge w:val="continue"/>
            <w:tcBorders>
              <w:left w:val="single" w:color="auto" w:sz="4" w:space="0"/>
              <w:right w:val="single" w:color="auto" w:sz="4" w:space="0"/>
              <w:tl2br w:val="single" w:color="auto" w:sz="4" w:space="0"/>
              <w:tr2bl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rPr>
                <w:rFonts w:ascii="仿宋_GB2312" w:hAnsi="仿宋_GB2312" w:cs="仿宋_GB2312"/>
                <w:color w:val="000000"/>
                <w:sz w:val="24"/>
                <w:szCs w:val="24"/>
              </w:rPr>
            </w:pPr>
            <w:r>
              <w:rPr>
                <w:rFonts w:hint="eastAsia" w:ascii="仿宋_GB2312" w:hAnsi="仿宋_GB2312" w:cs="仿宋_GB2312"/>
                <w:color w:val="000000"/>
                <w:sz w:val="24"/>
                <w:szCs w:val="24"/>
              </w:rPr>
              <w:t>专业代码：</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rPr>
                <w:rFonts w:ascii="仿宋_GB2312" w:hAnsi="仿宋_GB2312" w:cs="仿宋_GB2312"/>
                <w:color w:val="000000"/>
                <w:sz w:val="24"/>
                <w:szCs w:val="24"/>
              </w:rPr>
            </w:pPr>
            <w:r>
              <w:rPr>
                <w:rFonts w:hint="eastAsia" w:ascii="仿宋_GB2312" w:hAnsi="仿宋_GB2312" w:cs="仿宋_GB2312"/>
                <w:color w:val="000000"/>
                <w:sz w:val="24"/>
                <w:szCs w:val="24"/>
              </w:rPr>
              <w:t>专业代码：</w:t>
            </w:r>
          </w:p>
        </w:tc>
      </w:tr>
      <w:tr>
        <w:tblPrEx>
          <w:tblCellMar>
            <w:top w:w="0" w:type="dxa"/>
            <w:left w:w="108" w:type="dxa"/>
            <w:bottom w:w="0" w:type="dxa"/>
            <w:right w:w="108" w:type="dxa"/>
          </w:tblCellMar>
        </w:tblPrEx>
        <w:trPr>
          <w:trHeight w:val="454" w:hRule="atLeast"/>
          <w:jc w:val="center"/>
        </w:trPr>
        <w:tc>
          <w:tcPr>
            <w:tcW w:w="2977" w:type="dxa"/>
            <w:gridSpan w:val="2"/>
            <w:vMerge w:val="continue"/>
            <w:tcBorders>
              <w:left w:val="single" w:color="auto" w:sz="4" w:space="0"/>
              <w:bottom w:val="single" w:color="auto" w:sz="4" w:space="0"/>
              <w:right w:val="single" w:color="auto" w:sz="4" w:space="0"/>
              <w:tl2br w:val="single" w:color="auto" w:sz="4" w:space="0"/>
              <w:tr2bl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rPr>
                <w:rFonts w:ascii="仿宋_GB2312" w:hAnsi="仿宋_GB2312" w:cs="仿宋_GB2312"/>
                <w:color w:val="000000"/>
                <w:sz w:val="24"/>
                <w:szCs w:val="24"/>
              </w:rPr>
            </w:pPr>
            <w:r>
              <w:rPr>
                <w:rFonts w:hint="eastAsia" w:ascii="仿宋_GB2312" w:hAnsi="仿宋_GB2312" w:cs="仿宋_GB2312"/>
                <w:color w:val="000000"/>
                <w:sz w:val="24"/>
                <w:szCs w:val="24"/>
              </w:rPr>
              <w:t>原专业名称：</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rPr>
                <w:rFonts w:ascii="仿宋_GB2312" w:hAnsi="仿宋_GB2312" w:cs="仿宋_GB2312"/>
                <w:color w:val="000000"/>
                <w:sz w:val="24"/>
                <w:szCs w:val="24"/>
              </w:rPr>
            </w:pPr>
            <w:r>
              <w:rPr>
                <w:rFonts w:hint="eastAsia" w:ascii="仿宋_GB2312" w:hAnsi="仿宋_GB2312" w:cs="仿宋_GB2312"/>
                <w:color w:val="000000"/>
                <w:sz w:val="24"/>
                <w:szCs w:val="24"/>
              </w:rPr>
              <w:t>原专业名称：</w:t>
            </w:r>
          </w:p>
        </w:tc>
      </w:tr>
      <w:tr>
        <w:tblPrEx>
          <w:tblCellMar>
            <w:top w:w="0" w:type="dxa"/>
            <w:left w:w="108" w:type="dxa"/>
            <w:bottom w:w="0" w:type="dxa"/>
            <w:right w:w="108" w:type="dxa"/>
          </w:tblCellMar>
        </w:tblPrEx>
        <w:trPr>
          <w:trHeight w:val="454" w:hRule="atLeast"/>
          <w:jc w:val="center"/>
        </w:trPr>
        <w:tc>
          <w:tcPr>
            <w:tcW w:w="2977" w:type="dxa"/>
            <w:gridSpan w:val="2"/>
            <w:vMerge w:val="continue"/>
            <w:tcBorders>
              <w:left w:val="single" w:color="auto" w:sz="4" w:space="0"/>
              <w:bottom w:val="single" w:color="auto" w:sz="4" w:space="0"/>
              <w:right w:val="single" w:color="auto" w:sz="4" w:space="0"/>
              <w:tl2br w:val="single" w:color="auto" w:sz="4" w:space="0"/>
              <w:tr2bl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28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rPr>
                <w:rFonts w:ascii="仿宋_GB2312" w:hAnsi="仿宋_GB2312" w:cs="仿宋_GB2312"/>
                <w:color w:val="000000"/>
                <w:sz w:val="24"/>
                <w:szCs w:val="24"/>
              </w:rPr>
            </w:pPr>
            <w:r>
              <w:rPr>
                <w:rFonts w:hint="eastAsia" w:ascii="仿宋_GB2312" w:hAnsi="仿宋_GB2312" w:cs="仿宋_GB2312"/>
                <w:color w:val="000000"/>
                <w:sz w:val="24"/>
                <w:szCs w:val="24"/>
              </w:rPr>
              <w:t>原专业代码</w:t>
            </w:r>
          </w:p>
        </w:tc>
        <w:tc>
          <w:tcPr>
            <w:tcW w:w="300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rPr>
                <w:rFonts w:ascii="仿宋_GB2312" w:hAnsi="仿宋_GB2312" w:cs="仿宋_GB2312"/>
                <w:color w:val="000000"/>
                <w:sz w:val="24"/>
                <w:szCs w:val="24"/>
              </w:rPr>
            </w:pPr>
            <w:r>
              <w:rPr>
                <w:rFonts w:hint="eastAsia" w:ascii="仿宋_GB2312" w:hAnsi="仿宋_GB2312" w:cs="仿宋_GB2312"/>
                <w:color w:val="000000"/>
                <w:sz w:val="24"/>
                <w:szCs w:val="24"/>
              </w:rPr>
              <w:t>原专业代码</w:t>
            </w:r>
          </w:p>
        </w:tc>
      </w:tr>
      <w:tr>
        <w:tblPrEx>
          <w:tblCellMar>
            <w:top w:w="0" w:type="dxa"/>
            <w:left w:w="108" w:type="dxa"/>
            <w:bottom w:w="0" w:type="dxa"/>
            <w:right w:w="108" w:type="dxa"/>
          </w:tblCellMar>
        </w:tblPrEx>
        <w:trPr>
          <w:trHeight w:val="454" w:hRule="atLeast"/>
          <w:jc w:val="center"/>
        </w:trPr>
        <w:tc>
          <w:tcPr>
            <w:tcW w:w="297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课程名称</w:t>
            </w:r>
          </w:p>
        </w:tc>
        <w:tc>
          <w:tcPr>
            <w:tcW w:w="5812"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r>
      <w:tr>
        <w:tblPrEx>
          <w:tblCellMar>
            <w:top w:w="0" w:type="dxa"/>
            <w:left w:w="108" w:type="dxa"/>
            <w:bottom w:w="0" w:type="dxa"/>
            <w:right w:w="108" w:type="dxa"/>
          </w:tblCellMar>
        </w:tblPrEx>
        <w:trPr>
          <w:trHeight w:val="567" w:hRule="atLeast"/>
          <w:jc w:val="center"/>
        </w:trPr>
        <w:tc>
          <w:tcPr>
            <w:tcW w:w="297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作品名称</w:t>
            </w:r>
          </w:p>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（教学任务精确表述）</w:t>
            </w:r>
          </w:p>
        </w:tc>
        <w:tc>
          <w:tcPr>
            <w:tcW w:w="5812"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r>
      <w:tr>
        <w:tblPrEx>
          <w:tblCellMar>
            <w:top w:w="0" w:type="dxa"/>
            <w:left w:w="108" w:type="dxa"/>
            <w:bottom w:w="0" w:type="dxa"/>
            <w:right w:w="108" w:type="dxa"/>
          </w:tblCellMar>
        </w:tblPrEx>
        <w:trPr>
          <w:trHeight w:val="454" w:hRule="atLeast"/>
          <w:jc w:val="center"/>
        </w:trPr>
        <w:tc>
          <w:tcPr>
            <w:tcW w:w="170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课程总学时</w:t>
            </w:r>
          </w:p>
        </w:tc>
        <w:tc>
          <w:tcPr>
            <w:tcW w:w="1276"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136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参赛学时</w:t>
            </w:r>
          </w:p>
        </w:tc>
        <w:tc>
          <w:tcPr>
            <w:tcW w:w="1446"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187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授课班级人数</w:t>
            </w:r>
          </w:p>
        </w:tc>
        <w:tc>
          <w:tcPr>
            <w:tcW w:w="113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eastAsia="方正仿宋简体"/>
                <w:color w:val="000000"/>
                <w:sz w:val="24"/>
                <w:szCs w:val="24"/>
              </w:rPr>
            </w:pPr>
          </w:p>
        </w:tc>
      </w:tr>
    </w:tbl>
    <w:p>
      <w:pPr>
        <w:snapToGrid w:val="0"/>
        <w:spacing w:line="400" w:lineRule="exact"/>
        <w:jc w:val="center"/>
        <w:rPr>
          <w:rFonts w:ascii="黑体" w:hAnsi="黑体" w:eastAsia="黑体"/>
          <w:color w:val="000000"/>
          <w:sz w:val="28"/>
          <w:szCs w:val="28"/>
        </w:rPr>
      </w:pPr>
      <w:r>
        <w:rPr>
          <w:rFonts w:hint="eastAsia" w:ascii="黑体" w:hAnsi="黑体" w:eastAsia="黑体"/>
          <w:color w:val="000000"/>
          <w:sz w:val="28"/>
          <w:szCs w:val="28"/>
        </w:rPr>
        <w:t>参赛教师基本信息</w:t>
      </w:r>
      <w:r>
        <w:rPr>
          <w:rFonts w:ascii="黑体" w:hAnsi="黑体" w:eastAsia="黑体"/>
          <w:color w:val="000000"/>
          <w:sz w:val="28"/>
          <w:szCs w:val="28"/>
          <w:vertAlign w:val="superscript"/>
        </w:rPr>
        <w:footnoteReference w:id="0"/>
      </w:r>
    </w:p>
    <w:tbl>
      <w:tblPr>
        <w:tblStyle w:val="8"/>
        <w:tblW w:w="0" w:type="auto"/>
        <w:jc w:val="center"/>
        <w:tblLayout w:type="fixed"/>
        <w:tblCellMar>
          <w:top w:w="0" w:type="dxa"/>
          <w:left w:w="108" w:type="dxa"/>
          <w:bottom w:w="0" w:type="dxa"/>
          <w:right w:w="108" w:type="dxa"/>
        </w:tblCellMar>
      </w:tblPr>
      <w:tblGrid>
        <w:gridCol w:w="1271"/>
        <w:gridCol w:w="424"/>
        <w:gridCol w:w="279"/>
        <w:gridCol w:w="709"/>
        <w:gridCol w:w="1016"/>
        <w:gridCol w:w="1114"/>
        <w:gridCol w:w="924"/>
        <w:gridCol w:w="687"/>
        <w:gridCol w:w="230"/>
        <w:gridCol w:w="99"/>
        <w:gridCol w:w="1017"/>
        <w:gridCol w:w="1014"/>
      </w:tblGrid>
      <w:tr>
        <w:tblPrEx>
          <w:tblCellMar>
            <w:top w:w="0" w:type="dxa"/>
            <w:left w:w="108" w:type="dxa"/>
            <w:bottom w:w="0" w:type="dxa"/>
            <w:right w:w="108" w:type="dxa"/>
          </w:tblCellMar>
        </w:tblPrEx>
        <w:trPr>
          <w:trHeight w:val="454" w:hRule="atLeast"/>
          <w:jc w:val="center"/>
        </w:trPr>
        <w:tc>
          <w:tcPr>
            <w:tcW w:w="2683"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学校（单位）全称</w:t>
            </w:r>
          </w:p>
        </w:tc>
        <w:tc>
          <w:tcPr>
            <w:tcW w:w="6101" w:type="dxa"/>
            <w:gridSpan w:val="8"/>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r>
      <w:tr>
        <w:tblPrEx>
          <w:tblCellMar>
            <w:top w:w="0" w:type="dxa"/>
            <w:left w:w="108" w:type="dxa"/>
            <w:bottom w:w="0" w:type="dxa"/>
            <w:right w:w="108" w:type="dxa"/>
          </w:tblCellMar>
        </w:tblPrEx>
        <w:trPr>
          <w:trHeight w:val="454" w:hRule="atLeast"/>
          <w:jc w:val="center"/>
        </w:trPr>
        <w:tc>
          <w:tcPr>
            <w:tcW w:w="127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姓名</w:t>
            </w:r>
          </w:p>
        </w:tc>
        <w:tc>
          <w:tcPr>
            <w:tcW w:w="1412"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1016"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性别</w:t>
            </w:r>
          </w:p>
        </w:tc>
        <w:tc>
          <w:tcPr>
            <w:tcW w:w="111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92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民族</w:t>
            </w:r>
          </w:p>
        </w:tc>
        <w:tc>
          <w:tcPr>
            <w:tcW w:w="1016"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1017"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eastAsia="方正仿宋简体"/>
                <w:color w:val="000000"/>
                <w:sz w:val="24"/>
                <w:szCs w:val="24"/>
              </w:rPr>
            </w:pPr>
            <w:r>
              <w:rPr>
                <w:rFonts w:hint="eastAsia" w:eastAsia="方正仿宋简体"/>
                <w:color w:val="000000"/>
                <w:sz w:val="24"/>
                <w:szCs w:val="24"/>
              </w:rPr>
              <w:t>教龄</w:t>
            </w:r>
          </w:p>
        </w:tc>
        <w:tc>
          <w:tcPr>
            <w:tcW w:w="101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eastAsia="方正仿宋简体"/>
                <w:color w:val="000000"/>
                <w:sz w:val="24"/>
                <w:szCs w:val="24"/>
              </w:rPr>
            </w:pPr>
          </w:p>
        </w:tc>
      </w:tr>
      <w:tr>
        <w:tblPrEx>
          <w:tblCellMar>
            <w:top w:w="0" w:type="dxa"/>
            <w:left w:w="108" w:type="dxa"/>
            <w:bottom w:w="0" w:type="dxa"/>
            <w:right w:w="108" w:type="dxa"/>
          </w:tblCellMar>
        </w:tblPrEx>
        <w:trPr>
          <w:trHeight w:val="454" w:hRule="atLeast"/>
          <w:jc w:val="center"/>
        </w:trPr>
        <w:tc>
          <w:tcPr>
            <w:tcW w:w="169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身份证号码</w:t>
            </w:r>
          </w:p>
        </w:tc>
        <w:tc>
          <w:tcPr>
            <w:tcW w:w="3118"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c>
          <w:tcPr>
            <w:tcW w:w="1611"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r>
              <w:rPr>
                <w:rFonts w:hint="eastAsia" w:ascii="仿宋_GB2312" w:hAnsi="仿宋_GB2312" w:cs="仿宋_GB2312"/>
                <w:color w:val="000000"/>
                <w:sz w:val="24"/>
                <w:szCs w:val="24"/>
              </w:rPr>
              <w:t>联系电话</w:t>
            </w:r>
          </w:p>
        </w:tc>
        <w:tc>
          <w:tcPr>
            <w:tcW w:w="2360"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pacing w:line="400" w:lineRule="exact"/>
              <w:jc w:val="center"/>
              <w:rPr>
                <w:rFonts w:ascii="仿宋_GB2312" w:hAnsi="仿宋_GB2312" w:cs="仿宋_GB2312"/>
                <w:color w:val="000000"/>
                <w:sz w:val="24"/>
                <w:szCs w:val="24"/>
              </w:rPr>
            </w:pPr>
          </w:p>
        </w:tc>
      </w:tr>
      <w:tr>
        <w:tblPrEx>
          <w:tblCellMar>
            <w:top w:w="0" w:type="dxa"/>
            <w:left w:w="108" w:type="dxa"/>
            <w:bottom w:w="0" w:type="dxa"/>
            <w:right w:w="108" w:type="dxa"/>
          </w:tblCellMar>
        </w:tblPrEx>
        <w:trPr>
          <w:trHeight w:val="454" w:hRule="atLeast"/>
          <w:jc w:val="center"/>
        </w:trPr>
        <w:tc>
          <w:tcPr>
            <w:tcW w:w="127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职务</w:t>
            </w:r>
          </w:p>
        </w:tc>
        <w:tc>
          <w:tcPr>
            <w:tcW w:w="5383" w:type="dxa"/>
            <w:gridSpan w:val="8"/>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□普通教师□教研室负责人□系（分院）负责人</w:t>
            </w:r>
          </w:p>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□校领导</w:t>
            </w:r>
          </w:p>
        </w:tc>
        <w:tc>
          <w:tcPr>
            <w:tcW w:w="2130" w:type="dxa"/>
            <w:gridSpan w:val="3"/>
            <w:vMerge w:val="restart"/>
            <w:tcBorders>
              <w:top w:val="single" w:color="auto" w:sz="4" w:space="0"/>
              <w:left w:val="single" w:color="auto" w:sz="4" w:space="0"/>
              <w:right w:val="single" w:color="auto" w:sz="4" w:space="0"/>
            </w:tcBorders>
            <w:tcMar>
              <w:left w:w="28" w:type="dxa"/>
              <w:right w:w="28" w:type="dxa"/>
            </w:tcMar>
            <w:vAlign w:val="center"/>
          </w:tcPr>
          <w:p>
            <w:pPr>
              <w:overflowPunct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1寸照片</w:t>
            </w:r>
          </w:p>
          <w:p>
            <w:pPr>
              <w:overflowPunct w:val="0"/>
              <w:jc w:val="center"/>
              <w:rPr>
                <w:rFonts w:eastAsia="方正仿宋简体"/>
                <w:color w:val="000000"/>
                <w:sz w:val="24"/>
                <w:szCs w:val="24"/>
              </w:rPr>
            </w:pPr>
            <w:r>
              <w:rPr>
                <w:rFonts w:hint="eastAsia" w:ascii="仿宋_GB2312" w:hAnsi="仿宋_GB2312" w:cs="仿宋_GB2312"/>
                <w:color w:val="000000"/>
                <w:sz w:val="24"/>
                <w:szCs w:val="24"/>
              </w:rPr>
              <w:t>（可使用电子版）</w:t>
            </w:r>
          </w:p>
        </w:tc>
      </w:tr>
      <w:tr>
        <w:tblPrEx>
          <w:tblCellMar>
            <w:top w:w="0" w:type="dxa"/>
            <w:left w:w="108" w:type="dxa"/>
            <w:bottom w:w="0" w:type="dxa"/>
            <w:right w:w="108" w:type="dxa"/>
          </w:tblCellMar>
        </w:tblPrEx>
        <w:trPr>
          <w:trHeight w:val="454" w:hRule="atLeast"/>
          <w:jc w:val="center"/>
        </w:trPr>
        <w:tc>
          <w:tcPr>
            <w:tcW w:w="127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职称</w:t>
            </w:r>
          </w:p>
        </w:tc>
        <w:tc>
          <w:tcPr>
            <w:tcW w:w="5383" w:type="dxa"/>
            <w:gridSpan w:val="8"/>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□未定级□初级□中级□副高□正高</w:t>
            </w:r>
          </w:p>
        </w:tc>
        <w:tc>
          <w:tcPr>
            <w:tcW w:w="2130" w:type="dxa"/>
            <w:gridSpan w:val="3"/>
            <w:vMerge w:val="continue"/>
            <w:tcBorders>
              <w:left w:val="single" w:color="auto" w:sz="4" w:space="0"/>
              <w:right w:val="single" w:color="auto" w:sz="4" w:space="0"/>
            </w:tcBorders>
            <w:tcMar>
              <w:left w:w="28" w:type="dxa"/>
              <w:right w:w="28" w:type="dxa"/>
            </w:tcMar>
            <w:vAlign w:val="center"/>
          </w:tcPr>
          <w:p>
            <w:pPr>
              <w:overflowPunct w:val="0"/>
              <w:jc w:val="center"/>
              <w:rPr>
                <w:rFonts w:eastAsia="方正仿宋简体"/>
                <w:color w:val="000000"/>
                <w:sz w:val="24"/>
                <w:szCs w:val="24"/>
              </w:rPr>
            </w:pPr>
          </w:p>
        </w:tc>
      </w:tr>
      <w:tr>
        <w:tblPrEx>
          <w:tblCellMar>
            <w:top w:w="0" w:type="dxa"/>
            <w:left w:w="108" w:type="dxa"/>
            <w:bottom w:w="0" w:type="dxa"/>
            <w:right w:w="108" w:type="dxa"/>
          </w:tblCellMar>
        </w:tblPrEx>
        <w:trPr>
          <w:trHeight w:val="161" w:hRule="atLeast"/>
          <w:jc w:val="center"/>
        </w:trPr>
        <w:tc>
          <w:tcPr>
            <w:tcW w:w="127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职业资格</w:t>
            </w:r>
          </w:p>
        </w:tc>
        <w:tc>
          <w:tcPr>
            <w:tcW w:w="5383" w:type="dxa"/>
            <w:gridSpan w:val="8"/>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□高级技师□高级职业技能等级证书</w:t>
            </w:r>
          </w:p>
        </w:tc>
        <w:tc>
          <w:tcPr>
            <w:tcW w:w="2130" w:type="dxa"/>
            <w:gridSpan w:val="3"/>
            <w:vMerge w:val="continue"/>
            <w:tcBorders>
              <w:left w:val="single" w:color="auto" w:sz="4" w:space="0"/>
              <w:right w:val="single" w:color="auto" w:sz="4" w:space="0"/>
            </w:tcBorders>
            <w:tcMar>
              <w:left w:w="28" w:type="dxa"/>
              <w:right w:w="28" w:type="dxa"/>
            </w:tcMar>
            <w:vAlign w:val="center"/>
          </w:tcPr>
          <w:p>
            <w:pPr>
              <w:overflowPunct w:val="0"/>
              <w:jc w:val="center"/>
              <w:rPr>
                <w:rFonts w:eastAsia="方正仿宋简体"/>
                <w:color w:val="000000"/>
                <w:sz w:val="24"/>
                <w:szCs w:val="24"/>
              </w:rPr>
            </w:pPr>
          </w:p>
        </w:tc>
      </w:tr>
      <w:tr>
        <w:tblPrEx>
          <w:tblCellMar>
            <w:top w:w="0" w:type="dxa"/>
            <w:left w:w="108" w:type="dxa"/>
            <w:bottom w:w="0" w:type="dxa"/>
            <w:right w:w="108" w:type="dxa"/>
          </w:tblCellMar>
        </w:tblPrEx>
        <w:trPr>
          <w:trHeight w:val="454" w:hRule="atLeast"/>
          <w:jc w:val="center"/>
        </w:trPr>
        <w:tc>
          <w:tcPr>
            <w:tcW w:w="127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学历</w:t>
            </w:r>
          </w:p>
        </w:tc>
        <w:tc>
          <w:tcPr>
            <w:tcW w:w="5383" w:type="dxa"/>
            <w:gridSpan w:val="8"/>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□大专及以下□本科□硕士□博士</w:t>
            </w:r>
          </w:p>
        </w:tc>
        <w:tc>
          <w:tcPr>
            <w:tcW w:w="2130" w:type="dxa"/>
            <w:gridSpan w:val="3"/>
            <w:vMerge w:val="continue"/>
            <w:tcBorders>
              <w:left w:val="single" w:color="auto" w:sz="4" w:space="0"/>
              <w:right w:val="single" w:color="auto" w:sz="4" w:space="0"/>
            </w:tcBorders>
            <w:tcMar>
              <w:left w:w="28" w:type="dxa"/>
              <w:right w:w="28" w:type="dxa"/>
            </w:tcMar>
            <w:vAlign w:val="center"/>
          </w:tcPr>
          <w:p>
            <w:pPr>
              <w:overflowPunct w:val="0"/>
              <w:jc w:val="center"/>
              <w:rPr>
                <w:rFonts w:eastAsia="方正仿宋简体"/>
                <w:color w:val="000000"/>
                <w:sz w:val="24"/>
                <w:szCs w:val="24"/>
              </w:rPr>
            </w:pPr>
          </w:p>
        </w:tc>
      </w:tr>
      <w:tr>
        <w:tblPrEx>
          <w:tblCellMar>
            <w:top w:w="0" w:type="dxa"/>
            <w:left w:w="108" w:type="dxa"/>
            <w:bottom w:w="0" w:type="dxa"/>
            <w:right w:w="108" w:type="dxa"/>
          </w:tblCellMar>
        </w:tblPrEx>
        <w:trPr>
          <w:trHeight w:val="454" w:hRule="atLeast"/>
          <w:jc w:val="center"/>
        </w:trPr>
        <w:tc>
          <w:tcPr>
            <w:tcW w:w="127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身份</w:t>
            </w:r>
          </w:p>
        </w:tc>
        <w:tc>
          <w:tcPr>
            <w:tcW w:w="5383" w:type="dxa"/>
            <w:gridSpan w:val="8"/>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□在职教师□企业兼职教师</w:t>
            </w:r>
          </w:p>
        </w:tc>
        <w:tc>
          <w:tcPr>
            <w:tcW w:w="2130" w:type="dxa"/>
            <w:gridSpan w:val="3"/>
            <w:vMerge w:val="continue"/>
            <w:tcBorders>
              <w:left w:val="single" w:color="auto" w:sz="4" w:space="0"/>
              <w:right w:val="single" w:color="auto" w:sz="4" w:space="0"/>
            </w:tcBorders>
            <w:tcMar>
              <w:left w:w="28" w:type="dxa"/>
              <w:right w:w="28" w:type="dxa"/>
            </w:tcMar>
            <w:vAlign w:val="center"/>
          </w:tcPr>
          <w:p>
            <w:pPr>
              <w:overflowPunct w:val="0"/>
              <w:jc w:val="center"/>
              <w:rPr>
                <w:rFonts w:eastAsia="方正仿宋简体"/>
                <w:color w:val="000000"/>
                <w:sz w:val="24"/>
                <w:szCs w:val="24"/>
              </w:rPr>
            </w:pPr>
          </w:p>
        </w:tc>
      </w:tr>
      <w:tr>
        <w:tblPrEx>
          <w:tblCellMar>
            <w:top w:w="0" w:type="dxa"/>
            <w:left w:w="108" w:type="dxa"/>
            <w:bottom w:w="0" w:type="dxa"/>
            <w:right w:w="108" w:type="dxa"/>
          </w:tblCellMar>
        </w:tblPrEx>
        <w:trPr>
          <w:trHeight w:val="567" w:hRule="atLeast"/>
          <w:jc w:val="center"/>
        </w:trPr>
        <w:tc>
          <w:tcPr>
            <w:tcW w:w="1974"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承担教学任务</w:t>
            </w:r>
          </w:p>
        </w:tc>
        <w:tc>
          <w:tcPr>
            <w:tcW w:w="2839"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p>
        </w:tc>
        <w:tc>
          <w:tcPr>
            <w:tcW w:w="1841"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拍摄视频名称</w:t>
            </w:r>
          </w:p>
        </w:tc>
        <w:tc>
          <w:tcPr>
            <w:tcW w:w="2130" w:type="dxa"/>
            <w:gridSpan w:val="3"/>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eastAsia="方正仿宋简体"/>
                <w:color w:val="000000"/>
                <w:sz w:val="24"/>
                <w:szCs w:val="24"/>
              </w:rPr>
            </w:pPr>
          </w:p>
        </w:tc>
      </w:tr>
    </w:tbl>
    <w:p>
      <w:pPr>
        <w:jc w:val="center"/>
        <w:rPr>
          <w:rFonts w:ascii="黑体" w:hAnsi="黑体" w:eastAsia="黑体"/>
          <w:color w:val="000000"/>
          <w:sz w:val="28"/>
          <w:szCs w:val="28"/>
        </w:rPr>
      </w:pPr>
      <w:r>
        <w:rPr>
          <w:rFonts w:hint="eastAsia" w:ascii="黑体" w:hAnsi="黑体" w:eastAsia="黑体"/>
          <w:color w:val="000000"/>
          <w:sz w:val="28"/>
          <w:szCs w:val="28"/>
        </w:rPr>
        <w:t>参赛承诺与说明</w:t>
      </w:r>
      <w:r>
        <w:rPr>
          <w:rFonts w:ascii="黑体" w:hAnsi="黑体" w:eastAsia="黑体"/>
          <w:color w:val="000000"/>
          <w:sz w:val="28"/>
          <w:szCs w:val="28"/>
          <w:vertAlign w:val="superscript"/>
        </w:rPr>
        <w:footnoteReference w:id="1"/>
      </w:r>
    </w:p>
    <w:tbl>
      <w:tblPr>
        <w:tblStyle w:val="8"/>
        <w:tblW w:w="0" w:type="auto"/>
        <w:jc w:val="center"/>
        <w:tblLayout w:type="fixed"/>
        <w:tblCellMar>
          <w:top w:w="0" w:type="dxa"/>
          <w:left w:w="108" w:type="dxa"/>
          <w:bottom w:w="0" w:type="dxa"/>
          <w:right w:w="108" w:type="dxa"/>
        </w:tblCellMar>
      </w:tblPr>
      <w:tblGrid>
        <w:gridCol w:w="3114"/>
        <w:gridCol w:w="1280"/>
        <w:gridCol w:w="2689"/>
        <w:gridCol w:w="1706"/>
      </w:tblGrid>
      <w:tr>
        <w:tblPrEx>
          <w:tblCellMar>
            <w:top w:w="0" w:type="dxa"/>
            <w:left w:w="108" w:type="dxa"/>
            <w:bottom w:w="0" w:type="dxa"/>
            <w:right w:w="108" w:type="dxa"/>
          </w:tblCellMar>
        </w:tblPrEx>
        <w:trPr>
          <w:trHeight w:val="794" w:hRule="atLeast"/>
          <w:jc w:val="center"/>
        </w:trPr>
        <w:tc>
          <w:tcPr>
            <w:tcW w:w="7083" w:type="dxa"/>
            <w:gridSpan w:val="3"/>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本校本课程作品未在近2年全国职业院校技能大赛教学能力比赛中获得一等奖</w:t>
            </w:r>
          </w:p>
        </w:tc>
        <w:tc>
          <w:tcPr>
            <w:tcW w:w="1706" w:type="dxa"/>
            <w:vMerge w:val="restart"/>
            <w:tcBorders>
              <w:top w:val="single" w:color="auto" w:sz="4" w:space="0"/>
              <w:left w:val="single" w:color="auto" w:sz="4" w:space="0"/>
              <w:right w:val="single" w:color="auto" w:sz="4" w:space="0"/>
            </w:tcBorders>
            <w:vAlign w:val="center"/>
          </w:tcPr>
          <w:p>
            <w:pPr>
              <w:jc w:val="center"/>
              <w:rPr>
                <w:rFonts w:ascii="仿宋_GB2312"/>
                <w:color w:val="000000"/>
                <w:sz w:val="24"/>
                <w:szCs w:val="24"/>
              </w:rPr>
            </w:pPr>
            <w:r>
              <w:rPr>
                <w:rFonts w:hint="eastAsia" w:ascii="仿宋_GB2312"/>
                <w:color w:val="000000"/>
                <w:sz w:val="24"/>
                <w:szCs w:val="24"/>
              </w:rPr>
              <w:t>□是□否</w:t>
            </w:r>
          </w:p>
        </w:tc>
      </w:tr>
      <w:tr>
        <w:tblPrEx>
          <w:tblCellMar>
            <w:top w:w="0" w:type="dxa"/>
            <w:left w:w="108" w:type="dxa"/>
            <w:bottom w:w="0" w:type="dxa"/>
            <w:right w:w="108" w:type="dxa"/>
          </w:tblCellMar>
        </w:tblPrEx>
        <w:trPr>
          <w:trHeight w:val="794" w:hRule="atLeast"/>
          <w:jc w:val="center"/>
        </w:trPr>
        <w:tc>
          <w:tcPr>
            <w:tcW w:w="7083" w:type="dxa"/>
            <w:gridSpan w:val="3"/>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本校本专业的专业（技能）课程作品未在2019、2020年全国职业院校技能大赛教学能力比赛中获得一等奖</w:t>
            </w:r>
          </w:p>
        </w:tc>
        <w:tc>
          <w:tcPr>
            <w:tcW w:w="1706" w:type="dxa"/>
            <w:vMerge w:val="continue"/>
            <w:tcBorders>
              <w:left w:val="single" w:color="auto" w:sz="4" w:space="0"/>
              <w:bottom w:val="single" w:color="auto" w:sz="4" w:space="0"/>
              <w:right w:val="single" w:color="auto" w:sz="4" w:space="0"/>
            </w:tcBorders>
            <w:vAlign w:val="center"/>
          </w:tcPr>
          <w:p>
            <w:pPr>
              <w:jc w:val="center"/>
              <w:rPr>
                <w:rFonts w:ascii="仿宋_GB2312"/>
                <w:color w:val="000000"/>
                <w:sz w:val="24"/>
                <w:szCs w:val="24"/>
              </w:rPr>
            </w:pPr>
          </w:p>
        </w:tc>
      </w:tr>
      <w:tr>
        <w:tblPrEx>
          <w:tblCellMar>
            <w:top w:w="0" w:type="dxa"/>
            <w:left w:w="108" w:type="dxa"/>
            <w:bottom w:w="0" w:type="dxa"/>
            <w:right w:w="108" w:type="dxa"/>
          </w:tblCellMar>
        </w:tblPrEx>
        <w:trPr>
          <w:trHeight w:val="794" w:hRule="atLeast"/>
          <w:jc w:val="center"/>
        </w:trPr>
        <w:tc>
          <w:tcPr>
            <w:tcW w:w="7083" w:type="dxa"/>
            <w:gridSpan w:val="3"/>
            <w:tcBorders>
              <w:top w:val="single" w:color="auto" w:sz="4" w:space="0"/>
              <w:left w:val="single" w:color="auto" w:sz="4" w:space="0"/>
              <w:bottom w:val="single" w:color="auto" w:sz="4" w:space="0"/>
              <w:right w:val="single" w:color="auto" w:sz="4" w:space="0"/>
            </w:tcBorders>
            <w:vAlign w:val="center"/>
          </w:tcPr>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本人未在近2年全国职业院校技能大赛</w:t>
            </w:r>
          </w:p>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教学能力比赛中获得一等奖</w:t>
            </w:r>
          </w:p>
        </w:tc>
        <w:tc>
          <w:tcPr>
            <w:tcW w:w="170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color w:val="000000"/>
                <w:sz w:val="24"/>
                <w:szCs w:val="24"/>
              </w:rPr>
            </w:pPr>
            <w:r>
              <w:rPr>
                <w:rFonts w:hint="eastAsia" w:ascii="仿宋_GB2312"/>
                <w:color w:val="000000"/>
                <w:sz w:val="24"/>
                <w:szCs w:val="24"/>
              </w:rPr>
              <w:t>□是□否</w:t>
            </w:r>
          </w:p>
        </w:tc>
      </w:tr>
      <w:tr>
        <w:tblPrEx>
          <w:tblCellMar>
            <w:top w:w="0" w:type="dxa"/>
            <w:left w:w="108" w:type="dxa"/>
            <w:bottom w:w="0" w:type="dxa"/>
            <w:right w:w="108" w:type="dxa"/>
          </w:tblCellMar>
        </w:tblPrEx>
        <w:trPr>
          <w:trHeight w:val="567" w:hRule="atLeast"/>
          <w:jc w:val="center"/>
        </w:trPr>
        <w:tc>
          <w:tcPr>
            <w:tcW w:w="7083" w:type="dxa"/>
            <w:gridSpan w:val="3"/>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以上填报作品信息、个人信息均真实无误</w:t>
            </w:r>
          </w:p>
        </w:tc>
        <w:tc>
          <w:tcPr>
            <w:tcW w:w="1706" w:type="dxa"/>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color w:val="000000"/>
                <w:sz w:val="24"/>
                <w:szCs w:val="24"/>
              </w:rPr>
            </w:pPr>
            <w:r>
              <w:rPr>
                <w:rFonts w:hint="eastAsia" w:ascii="仿宋_GB2312"/>
                <w:color w:val="000000"/>
                <w:sz w:val="24"/>
                <w:szCs w:val="24"/>
              </w:rPr>
              <w:t>□是□否</w:t>
            </w:r>
          </w:p>
        </w:tc>
      </w:tr>
      <w:tr>
        <w:tblPrEx>
          <w:tblCellMar>
            <w:top w:w="0" w:type="dxa"/>
            <w:left w:w="108" w:type="dxa"/>
            <w:bottom w:w="0" w:type="dxa"/>
            <w:right w:w="108" w:type="dxa"/>
          </w:tblCellMar>
        </w:tblPrEx>
        <w:trPr>
          <w:trHeight w:val="567" w:hRule="atLeast"/>
          <w:jc w:val="center"/>
        </w:trPr>
        <w:tc>
          <w:tcPr>
            <w:tcW w:w="7083" w:type="dxa"/>
            <w:gridSpan w:val="3"/>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参赛作品材料没有泄漏地区、学校名称</w:t>
            </w:r>
          </w:p>
        </w:tc>
        <w:tc>
          <w:tcPr>
            <w:tcW w:w="1706" w:type="dxa"/>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color w:val="000000"/>
                <w:sz w:val="24"/>
                <w:szCs w:val="24"/>
              </w:rPr>
            </w:pPr>
            <w:r>
              <w:rPr>
                <w:rFonts w:hint="eastAsia" w:ascii="仿宋_GB2312"/>
                <w:color w:val="000000"/>
                <w:sz w:val="24"/>
                <w:szCs w:val="24"/>
              </w:rPr>
              <w:t>□是□否</w:t>
            </w:r>
          </w:p>
        </w:tc>
      </w:tr>
      <w:tr>
        <w:tblPrEx>
          <w:tblCellMar>
            <w:top w:w="0" w:type="dxa"/>
            <w:left w:w="108" w:type="dxa"/>
            <w:bottom w:w="0" w:type="dxa"/>
            <w:right w:w="108" w:type="dxa"/>
          </w:tblCellMar>
        </w:tblPrEx>
        <w:trPr>
          <w:trHeight w:val="567" w:hRule="atLeast"/>
          <w:jc w:val="center"/>
        </w:trPr>
        <w:tc>
          <w:tcPr>
            <w:tcW w:w="7083" w:type="dxa"/>
            <w:gridSpan w:val="3"/>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保证参赛作品无知识产权异议或其他法律纠纷</w:t>
            </w:r>
          </w:p>
        </w:tc>
        <w:tc>
          <w:tcPr>
            <w:tcW w:w="1706" w:type="dxa"/>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color w:val="000000"/>
                <w:sz w:val="24"/>
                <w:szCs w:val="24"/>
              </w:rPr>
            </w:pPr>
            <w:r>
              <w:rPr>
                <w:rFonts w:hint="eastAsia" w:ascii="仿宋_GB2312"/>
                <w:color w:val="000000"/>
                <w:sz w:val="24"/>
                <w:szCs w:val="24"/>
              </w:rPr>
              <w:t>□是□否</w:t>
            </w:r>
          </w:p>
        </w:tc>
      </w:tr>
      <w:tr>
        <w:tblPrEx>
          <w:tblCellMar>
            <w:top w:w="0" w:type="dxa"/>
            <w:left w:w="108" w:type="dxa"/>
            <w:bottom w:w="0" w:type="dxa"/>
            <w:right w:w="108" w:type="dxa"/>
          </w:tblCellMar>
        </w:tblPrEx>
        <w:trPr>
          <w:trHeight w:val="567" w:hRule="atLeast"/>
          <w:jc w:val="center"/>
        </w:trPr>
        <w:tc>
          <w:tcPr>
            <w:tcW w:w="7083" w:type="dxa"/>
            <w:gridSpan w:val="3"/>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同意大赛执委会拥有对参赛作品进行公益性共享权利</w:t>
            </w:r>
          </w:p>
        </w:tc>
        <w:tc>
          <w:tcPr>
            <w:tcW w:w="1706" w:type="dxa"/>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color w:val="000000"/>
                <w:sz w:val="24"/>
                <w:szCs w:val="24"/>
              </w:rPr>
            </w:pPr>
            <w:r>
              <w:rPr>
                <w:rFonts w:hint="eastAsia" w:ascii="仿宋_GB2312"/>
                <w:color w:val="000000"/>
                <w:sz w:val="24"/>
                <w:szCs w:val="24"/>
              </w:rPr>
              <w:t>□是□否</w:t>
            </w:r>
          </w:p>
        </w:tc>
      </w:tr>
      <w:tr>
        <w:tblPrEx>
          <w:tblCellMar>
            <w:top w:w="0" w:type="dxa"/>
            <w:left w:w="108" w:type="dxa"/>
            <w:bottom w:w="0" w:type="dxa"/>
            <w:right w:w="108" w:type="dxa"/>
          </w:tblCellMar>
        </w:tblPrEx>
        <w:trPr>
          <w:trHeight w:val="567" w:hRule="atLeast"/>
          <w:jc w:val="center"/>
        </w:trPr>
        <w:tc>
          <w:tcPr>
            <w:tcW w:w="3114" w:type="dxa"/>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专业人才培养方案网址</w:t>
            </w:r>
          </w:p>
        </w:tc>
        <w:tc>
          <w:tcPr>
            <w:tcW w:w="5675" w:type="dxa"/>
            <w:gridSpan w:val="3"/>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hAnsi="仿宋_GB2312" w:cs="仿宋_GB2312"/>
                <w:color w:val="000000"/>
                <w:sz w:val="24"/>
                <w:szCs w:val="24"/>
              </w:rPr>
            </w:pPr>
          </w:p>
        </w:tc>
      </w:tr>
      <w:tr>
        <w:tblPrEx>
          <w:tblCellMar>
            <w:top w:w="0" w:type="dxa"/>
            <w:left w:w="108" w:type="dxa"/>
            <w:bottom w:w="0" w:type="dxa"/>
            <w:right w:w="108" w:type="dxa"/>
          </w:tblCellMar>
        </w:tblPrEx>
        <w:trPr>
          <w:trHeight w:val="567" w:hRule="atLeast"/>
          <w:jc w:val="center"/>
        </w:trPr>
        <w:tc>
          <w:tcPr>
            <w:tcW w:w="3114" w:type="dxa"/>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参加校级比赛获奖情况</w:t>
            </w:r>
          </w:p>
        </w:tc>
        <w:tc>
          <w:tcPr>
            <w:tcW w:w="5675" w:type="dxa"/>
            <w:gridSpan w:val="3"/>
            <w:tcBorders>
              <w:top w:val="single" w:color="auto" w:sz="4" w:space="0"/>
              <w:left w:val="single" w:color="auto" w:sz="4" w:space="0"/>
              <w:bottom w:val="single" w:color="auto" w:sz="4" w:space="0"/>
              <w:right w:val="single" w:color="auto" w:sz="4" w:space="0"/>
            </w:tcBorders>
            <w:vAlign w:val="center"/>
          </w:tcPr>
          <w:p>
            <w:pPr>
              <w:overflowPunct w:val="0"/>
              <w:jc w:val="center"/>
              <w:rPr>
                <w:rFonts w:ascii="仿宋_GB2312" w:hAnsi="仿宋_GB2312" w:cs="仿宋_GB2312"/>
                <w:color w:val="000000"/>
                <w:sz w:val="24"/>
                <w:szCs w:val="24"/>
              </w:rPr>
            </w:pPr>
          </w:p>
        </w:tc>
      </w:tr>
      <w:tr>
        <w:tblPrEx>
          <w:tblCellMar>
            <w:top w:w="0" w:type="dxa"/>
            <w:left w:w="108" w:type="dxa"/>
            <w:bottom w:w="0" w:type="dxa"/>
            <w:right w:w="108" w:type="dxa"/>
          </w:tblCellMar>
        </w:tblPrEx>
        <w:trPr>
          <w:trHeight w:val="964" w:hRule="atLeast"/>
          <w:jc w:val="center"/>
        </w:trPr>
        <w:tc>
          <w:tcPr>
            <w:tcW w:w="8789" w:type="dxa"/>
            <w:gridSpan w:val="4"/>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rPr>
                <w:rFonts w:ascii="仿宋_GB2312" w:hAnsi="仿宋_GB2312" w:cs="仿宋_GB2312"/>
                <w:b/>
                <w:bCs/>
                <w:color w:val="000000"/>
                <w:spacing w:val="-8"/>
                <w:sz w:val="24"/>
                <w:szCs w:val="24"/>
              </w:rPr>
            </w:pPr>
            <w:r>
              <w:rPr>
                <w:rFonts w:hint="eastAsia" w:ascii="仿宋_GB2312" w:hAnsi="仿宋_GB2312" w:cs="仿宋_GB2312"/>
                <w:b/>
                <w:bCs/>
                <w:color w:val="000000"/>
                <w:sz w:val="24"/>
                <w:szCs w:val="24"/>
              </w:rPr>
              <w:t>请确</w:t>
            </w:r>
            <w:r>
              <w:rPr>
                <w:rFonts w:hint="eastAsia" w:ascii="仿宋_GB2312" w:hAnsi="仿宋_GB2312" w:cs="仿宋_GB2312"/>
                <w:b/>
                <w:bCs/>
                <w:color w:val="000000"/>
                <w:spacing w:val="-8"/>
                <w:sz w:val="24"/>
                <w:szCs w:val="24"/>
              </w:rPr>
              <w:t>认以下情况是否符合比赛要求并提供佐证材料（提交电子资料，如班级花名册）：</w:t>
            </w:r>
          </w:p>
          <w:p>
            <w:pPr>
              <w:overflowPunct w:val="0"/>
              <w:rPr>
                <w:rFonts w:ascii="仿宋_GB2312" w:hAnsi="仿宋_GB2312" w:cs="仿宋_GB2312"/>
                <w:color w:val="000000"/>
                <w:sz w:val="24"/>
                <w:szCs w:val="24"/>
              </w:rPr>
            </w:pPr>
            <w:r>
              <w:rPr>
                <w:rFonts w:hint="eastAsia" w:ascii="仿宋_GB2312" w:hAnsi="仿宋_GB2312" w:cs="仿宋_GB2312"/>
                <w:color w:val="000000"/>
                <w:spacing w:val="-8"/>
                <w:sz w:val="24"/>
                <w:szCs w:val="24"/>
              </w:rPr>
              <w:t>□专业备案□实际招生□课程开设□团队成员参与教学□授课班级全体学生参与拍摄</w:t>
            </w:r>
          </w:p>
        </w:tc>
      </w:tr>
      <w:tr>
        <w:tblPrEx>
          <w:tblCellMar>
            <w:top w:w="0" w:type="dxa"/>
            <w:left w:w="108" w:type="dxa"/>
            <w:bottom w:w="0" w:type="dxa"/>
            <w:right w:w="108" w:type="dxa"/>
          </w:tblCellMar>
        </w:tblPrEx>
        <w:trPr>
          <w:trHeight w:val="680" w:hRule="atLeast"/>
          <w:jc w:val="center"/>
        </w:trPr>
        <w:tc>
          <w:tcPr>
            <w:tcW w:w="311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pPr>
              <w:overflowPunct w:val="0"/>
              <w:snapToGrid w:val="0"/>
              <w:jc w:val="center"/>
              <w:rPr>
                <w:rFonts w:ascii="仿宋_GB2312" w:hAnsi="仿宋_GB2312" w:cs="仿宋_GB2312"/>
                <w:b/>
                <w:bCs/>
                <w:color w:val="000000"/>
                <w:sz w:val="24"/>
                <w:szCs w:val="24"/>
              </w:rPr>
            </w:pPr>
            <w:r>
              <w:rPr>
                <w:rFonts w:hint="eastAsia" w:ascii="仿宋_GB2312" w:hAnsi="仿宋_GB2312" w:cs="仿宋_GB2312"/>
                <w:color w:val="000000"/>
                <w:sz w:val="24"/>
                <w:szCs w:val="24"/>
              </w:rPr>
              <w:t>个人签字</w:t>
            </w:r>
          </w:p>
        </w:tc>
        <w:tc>
          <w:tcPr>
            <w:tcW w:w="5675" w:type="dxa"/>
            <w:gridSpan w:val="3"/>
            <w:tcBorders>
              <w:top w:val="single" w:color="auto" w:sz="4" w:space="0"/>
              <w:left w:val="single" w:color="auto" w:sz="4" w:space="0"/>
              <w:bottom w:val="single" w:color="auto" w:sz="4" w:space="0"/>
              <w:right w:val="single" w:color="auto" w:sz="4" w:space="0"/>
            </w:tcBorders>
            <w:vAlign w:val="center"/>
          </w:tcPr>
          <w:p>
            <w:pPr>
              <w:overflowPunct w:val="0"/>
              <w:snapToGrid w:val="0"/>
              <w:rPr>
                <w:rFonts w:ascii="仿宋_GB2312" w:hAnsi="仿宋_GB2312" w:cs="仿宋_GB2312"/>
                <w:b/>
                <w:bCs/>
                <w:color w:val="000000"/>
                <w:sz w:val="24"/>
                <w:szCs w:val="24"/>
              </w:rPr>
            </w:pPr>
          </w:p>
        </w:tc>
      </w:tr>
      <w:tr>
        <w:tblPrEx>
          <w:tblCellMar>
            <w:top w:w="0" w:type="dxa"/>
            <w:left w:w="108" w:type="dxa"/>
            <w:bottom w:w="0" w:type="dxa"/>
            <w:right w:w="108" w:type="dxa"/>
          </w:tblCellMar>
        </w:tblPrEx>
        <w:trPr>
          <w:trHeight w:val="3742" w:hRule="atLeast"/>
          <w:jc w:val="center"/>
        </w:trPr>
        <w:tc>
          <w:tcPr>
            <w:tcW w:w="4394"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bottom"/>
          </w:tcPr>
          <w:p>
            <w:pPr>
              <w:overflowPunct w:val="0"/>
              <w:jc w:val="center"/>
              <w:rPr>
                <w:rFonts w:ascii="仿宋_GB2312" w:hAnsi="仿宋_GB2312" w:cs="仿宋_GB2312"/>
                <w:color w:val="000000"/>
                <w:sz w:val="24"/>
                <w:szCs w:val="24"/>
              </w:rPr>
            </w:pPr>
          </w:p>
          <w:p>
            <w:pPr>
              <w:overflowPunct w:val="0"/>
              <w:jc w:val="center"/>
              <w:rPr>
                <w:rFonts w:ascii="仿宋_GB2312" w:hAnsi="仿宋_GB2312" w:cs="仿宋_GB2312"/>
                <w:color w:val="000000"/>
                <w:sz w:val="24"/>
                <w:szCs w:val="24"/>
              </w:rPr>
            </w:pPr>
          </w:p>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（所在单位签署意见并盖章）</w:t>
            </w:r>
          </w:p>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日期：</w:t>
            </w:r>
          </w:p>
        </w:tc>
        <w:tc>
          <w:tcPr>
            <w:tcW w:w="4395"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bottom"/>
          </w:tcPr>
          <w:p>
            <w:pPr>
              <w:overflowPunct w:val="0"/>
              <w:snapToGrid w:val="0"/>
              <w:jc w:val="center"/>
              <w:rPr>
                <w:rFonts w:ascii="仿宋_GB2312" w:hAnsi="仿宋_GB2312" w:cs="仿宋_GB2312"/>
                <w:color w:val="000000"/>
                <w:spacing w:val="-10"/>
                <w:sz w:val="24"/>
                <w:szCs w:val="24"/>
              </w:rPr>
            </w:pPr>
            <w:r>
              <w:rPr>
                <w:rFonts w:hint="eastAsia" w:ascii="仿宋_GB2312" w:hAnsi="仿宋_GB2312" w:cs="仿宋_GB2312"/>
                <w:color w:val="000000"/>
                <w:spacing w:val="-10"/>
                <w:sz w:val="24"/>
                <w:szCs w:val="24"/>
              </w:rPr>
              <w:t>（省级教育行政部门处室签署意见并盖章）</w:t>
            </w:r>
          </w:p>
          <w:p>
            <w:pPr>
              <w:overflowPunct w:val="0"/>
              <w:snapToGrid w:val="0"/>
              <w:jc w:val="center"/>
              <w:rPr>
                <w:rFonts w:ascii="仿宋_GB2312" w:hAnsi="仿宋_GB2312" w:cs="仿宋_GB2312"/>
                <w:color w:val="000000"/>
                <w:sz w:val="24"/>
                <w:szCs w:val="24"/>
              </w:rPr>
            </w:pPr>
            <w:r>
              <w:rPr>
                <w:rFonts w:hint="eastAsia" w:ascii="仿宋_GB2312" w:hAnsi="仿宋_GB2312" w:cs="仿宋_GB2312"/>
                <w:color w:val="000000"/>
                <w:sz w:val="24"/>
                <w:szCs w:val="24"/>
              </w:rPr>
              <w:t>日期：</w:t>
            </w:r>
          </w:p>
        </w:tc>
      </w:tr>
    </w:tbl>
    <w:p>
      <w:pPr>
        <w:rPr>
          <w:rFonts w:ascii="黑体" w:hAnsi="黑体" w:eastAsia="黑体"/>
          <w:color w:val="000000"/>
          <w:sz w:val="32"/>
          <w:szCs w:val="32"/>
        </w:rPr>
        <w:sectPr>
          <w:footerReference r:id="rId4" w:type="default"/>
          <w:pgSz w:w="11906" w:h="16838"/>
          <w:pgMar w:top="1644" w:right="1361" w:bottom="2268" w:left="1531" w:header="0" w:footer="1814" w:gutter="0"/>
          <w:cols w:space="720" w:num="1"/>
          <w:docGrid w:type="linesAndChars" w:linePitch="587" w:charSpace="0"/>
        </w:sectPr>
      </w:pPr>
    </w:p>
    <w:p>
      <w:pPr>
        <w:rPr>
          <w:rFonts w:ascii="黑体" w:hAnsi="黑体" w:eastAsia="黑体"/>
          <w:color w:val="000000"/>
          <w:sz w:val="32"/>
          <w:szCs w:val="32"/>
        </w:rPr>
      </w:pPr>
      <w:r>
        <w:rPr>
          <w:rFonts w:hint="eastAsia" w:ascii="黑体" w:hAnsi="黑体" w:eastAsia="黑体"/>
          <w:color w:val="000000"/>
          <w:sz w:val="32"/>
          <w:szCs w:val="32"/>
        </w:rPr>
        <w:t>附件1-2</w:t>
      </w:r>
    </w:p>
    <w:p>
      <w:pPr>
        <w:rPr>
          <w:rFonts w:ascii="黑体" w:hAnsi="黑体" w:eastAsia="黑体"/>
          <w:color w:val="000000"/>
        </w:rPr>
      </w:pPr>
    </w:p>
    <w:p>
      <w:pPr>
        <w:overflowPunct w:val="0"/>
        <w:snapToGrid w:val="0"/>
        <w:jc w:val="center"/>
        <w:rPr>
          <w:rFonts w:ascii="方正小标宋简体" w:hAnsi="黑体" w:eastAsia="方正小标宋简体"/>
          <w:color w:val="000000"/>
          <w:sz w:val="44"/>
          <w:szCs w:val="44"/>
        </w:rPr>
      </w:pPr>
      <w:r>
        <w:rPr>
          <w:rFonts w:hint="eastAsia" w:ascii="方正小标宋简体" w:hAnsi="黑体" w:eastAsia="方正小标宋简体"/>
          <w:bCs/>
          <w:color w:val="000000"/>
          <w:sz w:val="44"/>
          <w:szCs w:val="44"/>
        </w:rPr>
        <w:t>2023年河南省高等</w:t>
      </w:r>
      <w:r>
        <w:rPr>
          <w:rFonts w:hint="eastAsia" w:ascii="方正小标宋简体" w:hAnsi="黑体" w:eastAsia="方正小标宋简体"/>
          <w:color w:val="000000"/>
          <w:sz w:val="44"/>
          <w:szCs w:val="44"/>
        </w:rPr>
        <w:t>职业教育教学能力大赛参赛汇总表</w:t>
      </w:r>
    </w:p>
    <w:p>
      <w:pPr>
        <w:snapToGrid w:val="0"/>
        <w:jc w:val="left"/>
        <w:rPr>
          <w:rFonts w:ascii="楷体_GB2312" w:hAnsi="仿宋" w:eastAsia="楷体_GB2312"/>
          <w:color w:val="000000"/>
          <w:sz w:val="28"/>
          <w:szCs w:val="28"/>
        </w:rPr>
      </w:pPr>
    </w:p>
    <w:p>
      <w:pPr>
        <w:jc w:val="left"/>
        <w:rPr>
          <w:rFonts w:ascii="仿宋_GB2312" w:hAnsi="宋体" w:cs="仿宋"/>
          <w:bCs/>
          <w:color w:val="000000"/>
          <w:sz w:val="24"/>
          <w:szCs w:val="24"/>
        </w:rPr>
      </w:pPr>
      <w:r>
        <w:rPr>
          <w:rFonts w:hint="eastAsia" w:ascii="楷体_GB2312" w:hAnsi="仿宋" w:eastAsia="楷体_GB2312"/>
          <w:color w:val="000000"/>
          <w:sz w:val="28"/>
          <w:szCs w:val="28"/>
        </w:rPr>
        <w:t>单位：</w:t>
      </w:r>
      <w:r>
        <w:rPr>
          <w:rFonts w:hint="eastAsia" w:ascii="仿宋_GB2312" w:hAnsi="宋体" w:cs="仿宋"/>
          <w:bCs/>
          <w:color w:val="000000"/>
          <w:sz w:val="18"/>
          <w:szCs w:val="18"/>
          <w:u w:val="single"/>
        </w:rPr>
        <w:t xml:space="preserve">  </w:t>
      </w:r>
      <w:r>
        <w:rPr>
          <w:rFonts w:hint="eastAsia" w:ascii="仿宋_GB2312" w:hAnsi="宋体" w:cs="仿宋"/>
          <w:bCs/>
          <w:color w:val="000000"/>
          <w:sz w:val="24"/>
          <w:szCs w:val="24"/>
          <w:u w:val="single"/>
        </w:rPr>
        <w:t xml:space="preserve">                     </w:t>
      </w:r>
      <w:r>
        <w:rPr>
          <w:rFonts w:hint="eastAsia" w:ascii="仿宋_GB2312" w:hAnsi="宋体" w:cs="仿宋"/>
          <w:bCs/>
          <w:color w:val="000000"/>
          <w:sz w:val="24"/>
          <w:szCs w:val="24"/>
        </w:rPr>
        <w:t xml:space="preserve">           </w:t>
      </w:r>
      <w:r>
        <w:rPr>
          <w:rFonts w:hint="eastAsia" w:ascii="楷体_GB2312" w:hAnsi="仿宋" w:eastAsia="楷体_GB2312"/>
          <w:color w:val="000000"/>
          <w:sz w:val="28"/>
          <w:szCs w:val="28"/>
        </w:rPr>
        <w:t>填表人：</w:t>
      </w:r>
      <w:r>
        <w:rPr>
          <w:rFonts w:hint="eastAsia" w:ascii="楷体_GB2312" w:hAnsi="仿宋" w:eastAsia="楷体_GB2312"/>
          <w:color w:val="000000"/>
          <w:sz w:val="28"/>
          <w:szCs w:val="28"/>
          <w:u w:val="single"/>
        </w:rPr>
        <w:t xml:space="preserve">               </w:t>
      </w:r>
      <w:r>
        <w:rPr>
          <w:rFonts w:hint="eastAsia" w:ascii="仿宋_GB2312" w:hAnsi="宋体" w:cs="仿宋"/>
          <w:bCs/>
          <w:color w:val="000000"/>
          <w:sz w:val="24"/>
          <w:szCs w:val="24"/>
        </w:rPr>
        <w:t xml:space="preserve">           </w:t>
      </w:r>
      <w:r>
        <w:rPr>
          <w:rFonts w:hint="eastAsia" w:ascii="楷体_GB2312" w:hAnsi="仿宋" w:eastAsia="楷体_GB2312"/>
          <w:color w:val="000000"/>
          <w:sz w:val="28"/>
          <w:szCs w:val="28"/>
        </w:rPr>
        <w:t>联系电话：</w:t>
      </w:r>
      <w:r>
        <w:rPr>
          <w:rFonts w:hint="eastAsia" w:ascii="仿宋_GB2312" w:hAnsi="宋体" w:cs="仿宋"/>
          <w:bCs/>
          <w:color w:val="000000"/>
          <w:sz w:val="24"/>
          <w:szCs w:val="24"/>
        </w:rPr>
        <w:t xml:space="preserve">  </w:t>
      </w:r>
      <w:r>
        <w:rPr>
          <w:rFonts w:hint="eastAsia" w:ascii="楷体_GB2312" w:hAnsi="仿宋" w:eastAsia="楷体_GB2312"/>
          <w:color w:val="000000"/>
          <w:sz w:val="28"/>
          <w:szCs w:val="28"/>
          <w:u w:val="single"/>
        </w:rPr>
        <w:t xml:space="preserve">             </w:t>
      </w:r>
    </w:p>
    <w:tbl>
      <w:tblPr>
        <w:tblStyle w:val="8"/>
        <w:tblW w:w="141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244"/>
        <w:gridCol w:w="1853"/>
        <w:gridCol w:w="1570"/>
        <w:gridCol w:w="2693"/>
        <w:gridCol w:w="1697"/>
        <w:gridCol w:w="1154"/>
        <w:gridCol w:w="1316"/>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0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sz w:val="24"/>
                <w:szCs w:val="24"/>
              </w:rPr>
              <w:t>序号</w:t>
            </w:r>
          </w:p>
        </w:tc>
        <w:tc>
          <w:tcPr>
            <w:tcW w:w="124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省级竞赛组别</w:t>
            </w:r>
          </w:p>
        </w:tc>
        <w:tc>
          <w:tcPr>
            <w:tcW w:w="185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公共基础课程</w:t>
            </w:r>
          </w:p>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/专业名称</w:t>
            </w:r>
          </w:p>
        </w:tc>
        <w:tc>
          <w:tcPr>
            <w:tcW w:w="1570"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课程名称</w:t>
            </w:r>
          </w:p>
        </w:tc>
        <w:tc>
          <w:tcPr>
            <w:tcW w:w="269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作品名称</w:t>
            </w:r>
          </w:p>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（教学任务精确表述）</w:t>
            </w:r>
          </w:p>
        </w:tc>
        <w:tc>
          <w:tcPr>
            <w:tcW w:w="1697"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学校名称</w:t>
            </w:r>
          </w:p>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（规范全称）</w:t>
            </w:r>
          </w:p>
        </w:tc>
        <w:tc>
          <w:tcPr>
            <w:tcW w:w="115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教学团队</w:t>
            </w:r>
          </w:p>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联系人</w:t>
            </w:r>
          </w:p>
        </w:tc>
        <w:tc>
          <w:tcPr>
            <w:tcW w:w="1316"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联系电话</w:t>
            </w:r>
          </w:p>
        </w:tc>
        <w:tc>
          <w:tcPr>
            <w:tcW w:w="2042"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国赛报名组别</w:t>
            </w:r>
          </w:p>
          <w:p>
            <w:pPr>
              <w:overflowPunct w:val="0"/>
              <w:snapToGrid w:val="0"/>
              <w:jc w:val="center"/>
              <w:rPr>
                <w:rFonts w:ascii="黑体" w:hAnsi="黑体" w:eastAsia="黑体" w:cs="仿宋"/>
                <w:color w:val="000000"/>
                <w:kern w:val="0"/>
                <w:sz w:val="24"/>
                <w:szCs w:val="24"/>
              </w:rPr>
            </w:pPr>
            <w:r>
              <w:rPr>
                <w:rFonts w:hint="eastAsia" w:ascii="黑体" w:hAnsi="黑体" w:eastAsia="黑体" w:cs="仿宋"/>
                <w:color w:val="000000"/>
                <w:kern w:val="0"/>
                <w:sz w:val="24"/>
                <w:szCs w:val="24"/>
              </w:rPr>
              <w:t>（专业一组、二组）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宋体" w:hAnsi="宋体" w:eastAsia="宋体" w:cs="仿宋"/>
                <w:color w:val="000000"/>
                <w:kern w:val="0"/>
                <w:sz w:val="24"/>
                <w:szCs w:val="24"/>
              </w:rPr>
            </w:pPr>
          </w:p>
        </w:tc>
        <w:tc>
          <w:tcPr>
            <w:tcW w:w="124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宋体" w:hAnsi="宋体" w:eastAsia="宋体" w:cs="仿宋"/>
                <w:color w:val="000000"/>
                <w:kern w:val="0"/>
                <w:sz w:val="24"/>
                <w:szCs w:val="24"/>
              </w:rPr>
            </w:pPr>
          </w:p>
        </w:tc>
        <w:tc>
          <w:tcPr>
            <w:tcW w:w="185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宋体" w:hAnsi="宋体" w:eastAsia="宋体" w:cs="仿宋"/>
                <w:color w:val="000000"/>
                <w:kern w:val="0"/>
                <w:sz w:val="24"/>
                <w:szCs w:val="24"/>
              </w:rPr>
            </w:pPr>
          </w:p>
        </w:tc>
        <w:tc>
          <w:tcPr>
            <w:tcW w:w="1570"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宋体" w:hAnsi="宋体" w:eastAsia="宋体" w:cs="仿宋"/>
                <w:color w:val="000000"/>
                <w:kern w:val="0"/>
                <w:sz w:val="24"/>
                <w:szCs w:val="24"/>
              </w:rPr>
            </w:pPr>
          </w:p>
        </w:tc>
        <w:tc>
          <w:tcPr>
            <w:tcW w:w="269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宋体" w:hAnsi="宋体" w:eastAsia="宋体" w:cs="仿宋"/>
                <w:color w:val="000000"/>
                <w:kern w:val="0"/>
                <w:sz w:val="24"/>
                <w:szCs w:val="24"/>
              </w:rPr>
            </w:pPr>
          </w:p>
        </w:tc>
        <w:tc>
          <w:tcPr>
            <w:tcW w:w="1697"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宋体" w:hAnsi="宋体" w:eastAsia="宋体" w:cs="仿宋"/>
                <w:color w:val="000000"/>
                <w:kern w:val="0"/>
                <w:sz w:val="24"/>
                <w:szCs w:val="24"/>
              </w:rPr>
            </w:pPr>
          </w:p>
        </w:tc>
        <w:tc>
          <w:tcPr>
            <w:tcW w:w="115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宋体" w:hAnsi="宋体" w:eastAsia="宋体" w:cs="仿宋"/>
                <w:color w:val="000000"/>
                <w:kern w:val="0"/>
                <w:sz w:val="24"/>
                <w:szCs w:val="24"/>
              </w:rPr>
            </w:pPr>
          </w:p>
        </w:tc>
        <w:tc>
          <w:tcPr>
            <w:tcW w:w="1316"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宋体" w:hAnsi="宋体" w:eastAsia="宋体" w:cs="仿宋"/>
                <w:color w:val="000000"/>
                <w:kern w:val="0"/>
                <w:sz w:val="24"/>
                <w:szCs w:val="24"/>
              </w:rPr>
            </w:pPr>
          </w:p>
        </w:tc>
        <w:tc>
          <w:tcPr>
            <w:tcW w:w="2042"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宋体" w:hAnsi="宋体" w:eastAsia="宋体"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24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85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570"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69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697"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15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316"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042"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24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85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570"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69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697"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15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316"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042"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24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85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570"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69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697"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15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316"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042"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24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85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570"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69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697"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15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316"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042"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24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85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570"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69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697"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15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316"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042"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7"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24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85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570"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693"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697"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154"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1316"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c>
          <w:tcPr>
            <w:tcW w:w="2042"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pPr>
              <w:overflowPunct w:val="0"/>
              <w:snapToGrid w:val="0"/>
              <w:jc w:val="center"/>
              <w:rPr>
                <w:rFonts w:ascii="仿宋" w:hAnsi="仿宋" w:eastAsia="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exact"/>
          <w:jc w:val="center"/>
        </w:trPr>
        <w:tc>
          <w:tcPr>
            <w:tcW w:w="14176" w:type="dxa"/>
            <w:gridSpan w:val="9"/>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pPr>
              <w:overflowPunct w:val="0"/>
              <w:snapToGrid w:val="0"/>
              <w:spacing w:before="146" w:beforeLines="25"/>
              <w:rPr>
                <w:rFonts w:ascii="仿宋_GB2312" w:hAnsi="仿宋" w:cs="Arial"/>
                <w:color w:val="000000"/>
                <w:sz w:val="21"/>
                <w:szCs w:val="21"/>
              </w:rPr>
            </w:pPr>
            <w:r>
              <w:rPr>
                <w:rFonts w:hint="eastAsia" w:ascii="仿宋_GB2312" w:hAnsi="仿宋" w:cs="Arial"/>
                <w:color w:val="000000"/>
                <w:sz w:val="21"/>
                <w:szCs w:val="21"/>
              </w:rPr>
              <w:t>备注：省级竞赛组别填写公共基础课程组、理工农医类课程组、文史财经类课程组；国赛报名组别填写公共基础课程组、专业课程一组、专业课程二组。</w:t>
            </w:r>
          </w:p>
          <w:p>
            <w:pPr>
              <w:overflowPunct w:val="0"/>
              <w:snapToGrid w:val="0"/>
              <w:jc w:val="center"/>
              <w:rPr>
                <w:rFonts w:ascii="仿宋" w:hAnsi="仿宋" w:eastAsia="仿宋"/>
                <w:color w:val="000000"/>
                <w:kern w:val="0"/>
                <w:sz w:val="24"/>
                <w:szCs w:val="24"/>
              </w:rPr>
            </w:pPr>
          </w:p>
        </w:tc>
      </w:tr>
    </w:tbl>
    <w:p>
      <w:pPr>
        <w:rPr>
          <w:rFonts w:ascii="黑体" w:hAnsi="黑体" w:eastAsia="黑体"/>
          <w:color w:val="000000"/>
          <w:sz w:val="32"/>
          <w:szCs w:val="32"/>
        </w:rPr>
        <w:sectPr>
          <w:footerReference r:id="rId5" w:type="default"/>
          <w:pgSz w:w="16838" w:h="11906" w:orient="landscape"/>
          <w:pgMar w:top="1361" w:right="2268" w:bottom="1531" w:left="1644" w:header="0" w:footer="1814" w:gutter="0"/>
          <w:cols w:space="720" w:num="1"/>
          <w:docGrid w:type="lines" w:linePitch="587" w:charSpace="95"/>
        </w:sectPr>
      </w:pPr>
    </w:p>
    <w:p>
      <w:pPr>
        <w:rPr>
          <w:color w:val="000000"/>
        </w:rPr>
      </w:pPr>
    </w:p>
    <w:sectPr>
      <w:footerReference r:id="rId6" w:type="default"/>
      <w:pgSz w:w="11906" w:h="16838"/>
      <w:pgMar w:top="1644" w:right="1361" w:bottom="2268" w:left="1531" w:header="0" w:footer="1814" w:gutter="0"/>
      <w:cols w:space="720" w:num="1"/>
      <w:titlePg/>
      <w:docGrid w:type="linesAndChars" w:linePitch="5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方正小标宋简体">
    <w:altName w:val="Arial Unicode MS"/>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华文仿宋">
    <w:panose1 w:val="02010600040101010101"/>
    <w:charset w:val="86"/>
    <w:family w:val="auto"/>
    <w:pitch w:val="default"/>
    <w:sig w:usb0="00000287" w:usb1="080F0000" w:usb2="00000000" w:usb3="00000000" w:csb0="0004009F" w:csb1="DFD70000"/>
  </w:font>
  <w:font w:name="方正仿宋简体">
    <w:altName w:val="Arial Unicode MS"/>
    <w:panose1 w:val="00000000000000000000"/>
    <w:charset w:val="00"/>
    <w:family w:val="auto"/>
    <w:pitch w:val="default"/>
    <w:sig w:usb0="00000000" w:usb1="00000000" w:usb2="00000012" w:usb3="00000000" w:csb0="00040001" w:csb1="00000000"/>
  </w:font>
  <w:font w:name="Malgun Gothic Semilight">
    <w:panose1 w:val="020B0502040204020203"/>
    <w:charset w:val="86"/>
    <w:family w:val="swiss"/>
    <w:pitch w:val="default"/>
    <w:sig w:usb0="900002AF" w:usb1="01D77CFB" w:usb2="00000012" w:usb3="00000000" w:csb0="203E01BD" w:csb1="D7FF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Fonts w:ascii="仿宋_GB2312"/>
        <w:sz w:val="30"/>
        <w:szCs w:val="30"/>
      </w:rPr>
    </w:pPr>
    <w:r>
      <w:rPr>
        <w:rStyle w:val="10"/>
        <w:rFonts w:hint="eastAsia" w:ascii="仿宋_GB2312"/>
        <w:sz w:val="30"/>
        <w:szCs w:val="30"/>
      </w:rPr>
      <w:t xml:space="preserve">— </w:t>
    </w:r>
    <w:r>
      <w:rPr>
        <w:rFonts w:hint="eastAsia" w:ascii="仿宋_GB2312"/>
        <w:sz w:val="30"/>
        <w:szCs w:val="30"/>
      </w:rPr>
      <w:fldChar w:fldCharType="begin"/>
    </w:r>
    <w:r>
      <w:rPr>
        <w:rStyle w:val="10"/>
        <w:rFonts w:hint="eastAsia" w:ascii="仿宋_GB2312"/>
        <w:sz w:val="30"/>
        <w:szCs w:val="30"/>
      </w:rPr>
      <w:instrText xml:space="preserve"> PAGE </w:instrText>
    </w:r>
    <w:r>
      <w:rPr>
        <w:rFonts w:hint="eastAsia" w:ascii="仿宋_GB2312"/>
        <w:sz w:val="30"/>
        <w:szCs w:val="30"/>
      </w:rPr>
      <w:fldChar w:fldCharType="separate"/>
    </w:r>
    <w:r>
      <w:rPr>
        <w:rStyle w:val="10"/>
        <w:rFonts w:ascii="仿宋_GB2312"/>
        <w:sz w:val="30"/>
        <w:szCs w:val="30"/>
      </w:rPr>
      <w:t>1</w:t>
    </w:r>
    <w:r>
      <w:rPr>
        <w:rFonts w:hint="eastAsia" w:ascii="仿宋_GB2312"/>
        <w:sz w:val="30"/>
        <w:szCs w:val="30"/>
      </w:rPr>
      <w:fldChar w:fldCharType="end"/>
    </w:r>
    <w:r>
      <w:rPr>
        <w:rFonts w:hint="eastAsia" w:ascii="仿宋_GB2312"/>
        <w:sz w:val="30"/>
        <w:szCs w:val="30"/>
      </w:rPr>
      <w:t xml:space="preserve"> </w:t>
    </w:r>
    <w:r>
      <w:rPr>
        <w:rStyle w:val="10"/>
        <w:rFonts w:hint="eastAsia" w:ascii="仿宋_GB2312"/>
        <w:sz w:val="30"/>
        <w:szCs w:val="30"/>
      </w:rPr>
      <w:t>—</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Fonts w:ascii="仿宋_GB2312"/>
        <w:sz w:val="30"/>
        <w:szCs w:val="30"/>
      </w:rPr>
    </w:pPr>
    <w:r>
      <w:rPr>
        <w:rStyle w:val="10"/>
        <w:rFonts w:hint="eastAsia" w:ascii="仿宋_GB2312"/>
        <w:sz w:val="30"/>
        <w:szCs w:val="30"/>
      </w:rPr>
      <w:t xml:space="preserve">— </w:t>
    </w:r>
    <w:r>
      <w:rPr>
        <w:rFonts w:hint="eastAsia" w:ascii="仿宋_GB2312"/>
        <w:sz w:val="30"/>
        <w:szCs w:val="30"/>
      </w:rPr>
      <w:fldChar w:fldCharType="begin"/>
    </w:r>
    <w:r>
      <w:rPr>
        <w:rStyle w:val="10"/>
        <w:rFonts w:hint="eastAsia" w:ascii="仿宋_GB2312"/>
        <w:sz w:val="30"/>
        <w:szCs w:val="30"/>
      </w:rPr>
      <w:instrText xml:space="preserve"> PAGE </w:instrText>
    </w:r>
    <w:r>
      <w:rPr>
        <w:rFonts w:hint="eastAsia" w:ascii="仿宋_GB2312"/>
        <w:sz w:val="30"/>
        <w:szCs w:val="30"/>
      </w:rPr>
      <w:fldChar w:fldCharType="separate"/>
    </w:r>
    <w:r>
      <w:rPr>
        <w:rStyle w:val="10"/>
        <w:rFonts w:ascii="仿宋_GB2312"/>
        <w:sz w:val="30"/>
        <w:szCs w:val="30"/>
      </w:rPr>
      <w:t>21</w:t>
    </w:r>
    <w:r>
      <w:rPr>
        <w:rFonts w:hint="eastAsia" w:ascii="仿宋_GB2312"/>
        <w:sz w:val="30"/>
        <w:szCs w:val="30"/>
      </w:rPr>
      <w:fldChar w:fldCharType="end"/>
    </w:r>
    <w:r>
      <w:rPr>
        <w:rFonts w:hint="eastAsia" w:ascii="仿宋_GB2312"/>
        <w:sz w:val="30"/>
        <w:szCs w:val="30"/>
      </w:rPr>
      <w:t xml:space="preserve"> </w:t>
    </w:r>
    <w:r>
      <w:rPr>
        <w:rStyle w:val="10"/>
        <w:rFonts w:hint="eastAsia" w:ascii="仿宋_GB2312"/>
        <w:sz w:val="30"/>
        <w:szCs w:val="30"/>
      </w:rPr>
      <w:t>—</w:t>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0"/>
        <w:rFonts w:ascii="仿宋_GB2312"/>
        <w:sz w:val="30"/>
        <w:szCs w:val="30"/>
      </w:rPr>
    </w:pPr>
    <w:r>
      <w:rPr>
        <w:rStyle w:val="10"/>
        <w:rFonts w:hint="eastAsia" w:ascii="仿宋_GB2312"/>
        <w:sz w:val="30"/>
        <w:szCs w:val="30"/>
      </w:rPr>
      <w:t xml:space="preserve">— </w:t>
    </w:r>
    <w:r>
      <w:rPr>
        <w:rStyle w:val="10"/>
        <w:rFonts w:hint="eastAsia" w:ascii="仿宋_GB2312"/>
        <w:sz w:val="30"/>
        <w:szCs w:val="30"/>
      </w:rPr>
      <w:fldChar w:fldCharType="begin"/>
    </w:r>
    <w:r>
      <w:rPr>
        <w:rStyle w:val="10"/>
        <w:rFonts w:hint="eastAsia" w:ascii="仿宋_GB2312"/>
        <w:sz w:val="30"/>
        <w:szCs w:val="30"/>
      </w:rPr>
      <w:instrText xml:space="preserve"> PAGE </w:instrText>
    </w:r>
    <w:r>
      <w:rPr>
        <w:rStyle w:val="10"/>
        <w:rFonts w:hint="eastAsia" w:ascii="仿宋_GB2312"/>
        <w:sz w:val="30"/>
        <w:szCs w:val="30"/>
      </w:rPr>
      <w:fldChar w:fldCharType="separate"/>
    </w:r>
    <w:r>
      <w:rPr>
        <w:rStyle w:val="10"/>
        <w:rFonts w:ascii="仿宋_GB2312"/>
        <w:sz w:val="30"/>
        <w:szCs w:val="30"/>
      </w:rPr>
      <w:t>27</w:t>
    </w:r>
    <w:r>
      <w:rPr>
        <w:rStyle w:val="10"/>
        <w:rFonts w:hint="eastAsia" w:ascii="仿宋_GB2312"/>
        <w:sz w:val="30"/>
        <w:szCs w:val="30"/>
      </w:rPr>
      <w:fldChar w:fldCharType="end"/>
    </w:r>
    <w:r>
      <w:rPr>
        <w:rStyle w:val="10"/>
        <w:rFonts w:hint="eastAsia" w:ascii="仿宋_GB2312"/>
        <w:sz w:val="30"/>
        <w:szCs w:val="30"/>
      </w:rPr>
      <w:t xml:space="preserve"> —</w:t>
    </w:r>
  </w:p>
  <w:p>
    <w:pPr>
      <w:pStyle w:val="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6"/>
        <w:rPr>
          <w:sz w:val="21"/>
          <w:szCs w:val="21"/>
        </w:rPr>
      </w:pPr>
      <w:r>
        <w:rPr>
          <w:rStyle w:val="13"/>
          <w:sz w:val="21"/>
          <w:szCs w:val="21"/>
        </w:rPr>
        <w:footnoteRef/>
      </w:r>
      <w:r>
        <w:rPr>
          <w:rFonts w:hint="eastAsia"/>
          <w:sz w:val="21"/>
          <w:szCs w:val="21"/>
        </w:rPr>
        <w:t>教学团队全部成员逐一添加填写</w:t>
      </w:r>
    </w:p>
  </w:footnote>
  <w:footnote w:id="1">
    <w:p>
      <w:pPr>
        <w:pStyle w:val="6"/>
        <w:rPr>
          <w:sz w:val="21"/>
          <w:szCs w:val="21"/>
        </w:rPr>
      </w:pPr>
      <w:r>
        <w:rPr>
          <w:rStyle w:val="13"/>
          <w:sz w:val="21"/>
          <w:szCs w:val="21"/>
        </w:rPr>
        <w:footnoteRef/>
      </w:r>
      <w:r>
        <w:rPr>
          <w:sz w:val="21"/>
          <w:szCs w:val="21"/>
        </w:rPr>
        <w:t>教学团队全部成员逐一</w:t>
      </w:r>
      <w:r>
        <w:rPr>
          <w:rFonts w:hint="eastAsia"/>
          <w:sz w:val="21"/>
          <w:szCs w:val="21"/>
        </w:rPr>
        <w:t>添加</w:t>
      </w:r>
      <w:r>
        <w:rPr>
          <w:sz w:val="21"/>
          <w:szCs w:val="21"/>
        </w:rPr>
        <w:t>填写</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50"/>
  <w:drawingGridVerticalSpacing w:val="587"/>
  <w:displayHorizontalDrawingGridEvery w:val="0"/>
  <w:characterSpacingControl w:val="compressPunctuation"/>
  <w:footnotePr>
    <w:footnote w:id="4"/>
    <w:footnote w:id="5"/>
  </w:foot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lkZjIzOTljNDYwM2Y4YmExYzNlYzhhN2VjNGQ2ZTMifQ=="/>
    <w:docVar w:name="KGWebUrl" w:val="http://oa.jyt.henan.gov.cn:80/seeyon/officeservlet"/>
  </w:docVars>
  <w:rsids>
    <w:rsidRoot w:val="7A7E4496"/>
    <w:rsid w:val="00054A84"/>
    <w:rsid w:val="001274A2"/>
    <w:rsid w:val="0015521F"/>
    <w:rsid w:val="001C5948"/>
    <w:rsid w:val="0025310F"/>
    <w:rsid w:val="0027575B"/>
    <w:rsid w:val="00323A3D"/>
    <w:rsid w:val="00334CA9"/>
    <w:rsid w:val="0038289C"/>
    <w:rsid w:val="00394B68"/>
    <w:rsid w:val="005B0C9A"/>
    <w:rsid w:val="007C163B"/>
    <w:rsid w:val="00801482"/>
    <w:rsid w:val="00841229"/>
    <w:rsid w:val="008560AC"/>
    <w:rsid w:val="008751E9"/>
    <w:rsid w:val="00AA08F3"/>
    <w:rsid w:val="00BE1614"/>
    <w:rsid w:val="00BE6C5B"/>
    <w:rsid w:val="00C15060"/>
    <w:rsid w:val="00C71561"/>
    <w:rsid w:val="00D331C8"/>
    <w:rsid w:val="00DA068C"/>
    <w:rsid w:val="1A8B4BC7"/>
    <w:rsid w:val="1FBFCDAC"/>
    <w:rsid w:val="28C36066"/>
    <w:rsid w:val="2978066E"/>
    <w:rsid w:val="2E112405"/>
    <w:rsid w:val="2E1306DF"/>
    <w:rsid w:val="33837901"/>
    <w:rsid w:val="35FFDB88"/>
    <w:rsid w:val="3BEFF0DF"/>
    <w:rsid w:val="3F4F9544"/>
    <w:rsid w:val="3F7F29E8"/>
    <w:rsid w:val="3FFF4107"/>
    <w:rsid w:val="43AF129D"/>
    <w:rsid w:val="45FF6784"/>
    <w:rsid w:val="4CCC4516"/>
    <w:rsid w:val="5B90055D"/>
    <w:rsid w:val="5BC73268"/>
    <w:rsid w:val="5BD4669C"/>
    <w:rsid w:val="5CFF5EE1"/>
    <w:rsid w:val="5F8E79FB"/>
    <w:rsid w:val="635F7193"/>
    <w:rsid w:val="63D9165C"/>
    <w:rsid w:val="65BE0401"/>
    <w:rsid w:val="660D12EB"/>
    <w:rsid w:val="673B1D7D"/>
    <w:rsid w:val="679FC2F8"/>
    <w:rsid w:val="67BB9B91"/>
    <w:rsid w:val="67FF8253"/>
    <w:rsid w:val="69F907D8"/>
    <w:rsid w:val="6FDB80F6"/>
    <w:rsid w:val="79DBB16B"/>
    <w:rsid w:val="79FE1109"/>
    <w:rsid w:val="7A7E4496"/>
    <w:rsid w:val="7BF72B14"/>
    <w:rsid w:val="7FF7E0AA"/>
    <w:rsid w:val="976F45D6"/>
    <w:rsid w:val="9BDD82D0"/>
    <w:rsid w:val="B2F90AAF"/>
    <w:rsid w:val="BD6779D3"/>
    <w:rsid w:val="DFFB8CCB"/>
    <w:rsid w:val="ECF649CA"/>
    <w:rsid w:val="EE325420"/>
    <w:rsid w:val="EFFF3E8F"/>
    <w:rsid w:val="F3F7A93B"/>
    <w:rsid w:val="F5FF6BF7"/>
    <w:rsid w:val="F6EF9ADC"/>
    <w:rsid w:val="F7778935"/>
    <w:rsid w:val="F7A7095D"/>
    <w:rsid w:val="FB3EFC51"/>
    <w:rsid w:val="FB5CDC03"/>
    <w:rsid w:val="FBDB5E31"/>
    <w:rsid w:val="FBDE0D06"/>
    <w:rsid w:val="FBFF3142"/>
    <w:rsid w:val="FC0EC27D"/>
    <w:rsid w:val="FF4FFBCB"/>
    <w:rsid w:val="FF6BF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30"/>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Indent"/>
    <w:basedOn w:val="1"/>
    <w:next w:val="1"/>
    <w:link w:val="15"/>
    <w:unhideWhenUsed/>
    <w:qFormat/>
    <w:uiPriority w:val="0"/>
    <w:pPr>
      <w:spacing w:after="120"/>
      <w:ind w:left="420" w:leftChars="200"/>
    </w:pPr>
    <w:rPr>
      <w:rFonts w:ascii="仿宋_GB2312" w:hAnsi="等线"/>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rFonts w:ascii="Times New Roman" w:hAnsi="Times New Roman"/>
      <w:sz w:val="18"/>
      <w:szCs w:val="18"/>
    </w:rPr>
  </w:style>
  <w:style w:type="paragraph" w:styleId="7">
    <w:name w:val="Title"/>
    <w:basedOn w:val="1"/>
    <w:next w:val="2"/>
    <w:link w:val="16"/>
    <w:qFormat/>
    <w:uiPriority w:val="0"/>
    <w:pPr>
      <w:spacing w:before="240" w:after="60"/>
      <w:jc w:val="center"/>
      <w:outlineLvl w:val="0"/>
    </w:pPr>
    <w:rPr>
      <w:rFonts w:ascii="等线 Light" w:hAnsi="等线 Light" w:eastAsia="等线 Light"/>
      <w:b/>
      <w:bCs/>
      <w:sz w:val="32"/>
      <w:szCs w:val="32"/>
    </w:rPr>
  </w:style>
  <w:style w:type="character" w:styleId="10">
    <w:name w:val="page number"/>
    <w:basedOn w:val="9"/>
    <w:qFormat/>
    <w:uiPriority w:val="0"/>
  </w:style>
  <w:style w:type="character" w:styleId="11">
    <w:name w:val="FollowedHyperlink"/>
    <w:unhideWhenUsed/>
    <w:qFormat/>
    <w:uiPriority w:val="99"/>
    <w:rPr>
      <w:color w:val="954F72"/>
      <w:u w:val="single"/>
    </w:rPr>
  </w:style>
  <w:style w:type="character" w:styleId="12">
    <w:name w:val="Hyperlink"/>
    <w:unhideWhenUsed/>
    <w:qFormat/>
    <w:uiPriority w:val="99"/>
    <w:rPr>
      <w:color w:val="0563C1"/>
      <w:u w:val="single"/>
    </w:rPr>
  </w:style>
  <w:style w:type="character" w:styleId="13">
    <w:name w:val="footnote reference"/>
    <w:basedOn w:val="9"/>
    <w:qFormat/>
    <w:uiPriority w:val="0"/>
    <w:rPr>
      <w:vertAlign w:val="superscript"/>
    </w:rPr>
  </w:style>
  <w:style w:type="paragraph" w:customStyle="1" w:styleId="14">
    <w:name w:val="Char"/>
    <w:basedOn w:val="1"/>
    <w:qFormat/>
    <w:uiPriority w:val="0"/>
    <w:rPr>
      <w:rFonts w:eastAsia="宋体"/>
      <w:sz w:val="21"/>
      <w:szCs w:val="32"/>
    </w:rPr>
  </w:style>
  <w:style w:type="character" w:customStyle="1" w:styleId="15">
    <w:name w:val="正文文本缩进 Char"/>
    <w:link w:val="2"/>
    <w:semiHidden/>
    <w:qFormat/>
    <w:uiPriority w:val="0"/>
    <w:rPr>
      <w:rFonts w:ascii="仿宋_GB2312" w:hAnsi="等线" w:eastAsia="仿宋_GB2312"/>
      <w:kern w:val="2"/>
      <w:sz w:val="30"/>
      <w:szCs w:val="30"/>
      <w:lang w:val="en-US" w:eastAsia="zh-CN" w:bidi="ar-SA"/>
    </w:rPr>
  </w:style>
  <w:style w:type="character" w:customStyle="1" w:styleId="16">
    <w:name w:val="标题 Char"/>
    <w:link w:val="7"/>
    <w:qFormat/>
    <w:uiPriority w:val="0"/>
    <w:rPr>
      <w:rFonts w:ascii="等线 Light" w:hAnsi="等线 Light" w:eastAsia="等线 Light"/>
      <w:b/>
      <w:bCs/>
      <w:kern w:val="2"/>
      <w:sz w:val="32"/>
      <w:szCs w:val="32"/>
      <w:lang w:val="en-US" w:eastAsia="zh-CN" w:bidi="ar-SA"/>
    </w:rPr>
  </w:style>
  <w:style w:type="paragraph" w:customStyle="1" w:styleId="17">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
    <w:name w:val="font5"/>
    <w:basedOn w:val="1"/>
    <w:qFormat/>
    <w:uiPriority w:val="0"/>
    <w:pPr>
      <w:widowControl/>
      <w:spacing w:before="100" w:beforeAutospacing="1" w:after="100" w:afterAutospacing="1"/>
      <w:jc w:val="left"/>
    </w:pPr>
    <w:rPr>
      <w:rFonts w:ascii="宋体" w:hAnsi="宋体" w:eastAsia="宋体" w:cs="宋体"/>
      <w:color w:val="000000"/>
      <w:kern w:val="0"/>
      <w:sz w:val="21"/>
      <w:szCs w:val="21"/>
    </w:rPr>
  </w:style>
  <w:style w:type="paragraph" w:customStyle="1" w:styleId="19">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20">
    <w:name w:val="xl63"/>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2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ourier New" w:hAnsi="Courier New" w:eastAsia="宋体" w:cs="Courier New"/>
      <w:color w:val="000000"/>
      <w:kern w:val="0"/>
      <w:sz w:val="21"/>
      <w:szCs w:val="21"/>
    </w:rPr>
  </w:style>
  <w:style w:type="paragraph" w:customStyle="1" w:styleId="22">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Courier New" w:hAnsi="Courier New" w:eastAsia="宋体" w:cs="Courier New"/>
      <w:color w:val="000000"/>
      <w:kern w:val="0"/>
      <w:sz w:val="21"/>
      <w:szCs w:val="21"/>
    </w:rPr>
  </w:style>
  <w:style w:type="paragraph" w:customStyle="1" w:styleId="2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ourier New" w:hAnsi="Courier New" w:eastAsia="宋体" w:cs="Courier New"/>
      <w:color w:val="000000"/>
      <w:kern w:val="0"/>
      <w:sz w:val="21"/>
      <w:szCs w:val="21"/>
    </w:rPr>
  </w:style>
  <w:style w:type="paragraph" w:customStyle="1" w:styleId="24">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Courier New" w:hAnsi="Courier New" w:eastAsia="宋体" w:cs="Courier New"/>
      <w:color w:val="000000"/>
      <w:kern w:val="0"/>
      <w:sz w:val="21"/>
      <w:szCs w:val="21"/>
    </w:rPr>
  </w:style>
  <w:style w:type="paragraph" w:customStyle="1" w:styleId="2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eastAsia="宋体" w:cs="Courier New"/>
      <w:color w:val="000000"/>
      <w:kern w:val="0"/>
      <w:sz w:val="21"/>
      <w:szCs w:val="21"/>
    </w:rPr>
  </w:style>
  <w:style w:type="paragraph" w:customStyle="1" w:styleId="2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ourier New" w:hAnsi="Courier New" w:eastAsia="宋体" w:cs="Courier New"/>
      <w:color w:val="FF0000"/>
      <w:kern w:val="0"/>
      <w:sz w:val="21"/>
      <w:szCs w:val="21"/>
    </w:rPr>
  </w:style>
  <w:style w:type="paragraph" w:customStyle="1" w:styleId="2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Courier New" w:hAnsi="Courier New" w:eastAsia="宋体" w:cs="Courier New"/>
      <w:color w:val="000000"/>
      <w:kern w:val="0"/>
      <w:sz w:val="21"/>
      <w:szCs w:val="21"/>
    </w:rPr>
  </w:style>
  <w:style w:type="paragraph" w:customStyle="1" w:styleId="28">
    <w:name w:val="无间隔1"/>
    <w:basedOn w:val="1"/>
    <w:qFormat/>
    <w:uiPriority w:val="0"/>
    <w:rPr>
      <w:rFonts w:ascii="Times New Roman" w:hAnsi="Times New Roman" w:eastAsia="宋体"/>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2</Pages>
  <Words>1692</Words>
  <Characters>9651</Characters>
  <Lines>80</Lines>
  <Paragraphs>22</Paragraphs>
  <TotalTime>0</TotalTime>
  <ScaleCrop>false</ScaleCrop>
  <LinksUpToDate>false</LinksUpToDate>
  <CharactersWithSpaces>11321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2023-04-13T03:28:00Z</dcterms:created>
  <dc:creator>张俊丽</dc:creator>
  <cp:lastModifiedBy>＿＿LUS</cp:lastModifiedBy>
  <cp:lastPrinted>2023-04-14T03:24:00Z</cp:lastPrinted>
  <dcterms:modified xsi:type="dcterms:W3CDTF">2023-04-13T03:31:40Z</dcterms:modified>
  <dc:title>河南省教育厅办公室</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8B0565E93DC14E2F981E5F74CB84699E</vt:lpwstr>
  </property>
</Properties>
</file>