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  件</w:t>
      </w:r>
    </w:p>
    <w:p>
      <w:pPr>
        <w:pStyle w:val="2"/>
      </w:pPr>
    </w:p>
    <w:p>
      <w:pPr>
        <w:jc w:val="center"/>
        <w:rPr>
          <w:rFonts w:ascii="汉仪中宋简" w:hAnsi="汉仪中宋简" w:eastAsia="汉仪中宋简" w:cs="汉仪中宋简"/>
          <w:sz w:val="36"/>
          <w:szCs w:val="36"/>
        </w:rPr>
      </w:pPr>
      <w:r>
        <w:rPr>
          <w:rFonts w:hint="eastAsia" w:ascii="汉仪中宋简" w:hAnsi="汉仪中宋简" w:eastAsia="汉仪中宋简" w:cs="汉仪中宋简"/>
          <w:spacing w:val="20"/>
          <w:sz w:val="36"/>
          <w:szCs w:val="36"/>
        </w:rPr>
        <w:t>第五届“中国创翼”创业创新大赛河南省分区赛</w:t>
      </w:r>
      <w:r>
        <w:rPr>
          <w:rFonts w:hint="eastAsia" w:ascii="汉仪中宋简" w:hAnsi="汉仪中宋简" w:eastAsia="汉仪中宋简" w:cs="汉仪中宋简"/>
          <w:spacing w:val="0"/>
          <w:sz w:val="36"/>
          <w:szCs w:val="36"/>
        </w:rPr>
        <w:t>暨“豫创天下”“凤归中原”创业大赛总体方案</w:t>
      </w:r>
    </w:p>
    <w:p>
      <w:pPr>
        <w:rPr>
          <w:rFonts w:ascii="仿宋_GB2312" w:hAnsi="仿宋_GB2312" w:eastAsia="仿宋_GB2312" w:cs="仿宋_GB2312"/>
          <w:sz w:val="32"/>
          <w:szCs w:val="32"/>
        </w:rPr>
      </w:pPr>
    </w:p>
    <w:p>
      <w:pPr>
        <w:ind w:firstLine="640" w:firstLineChars="200"/>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一、总体要求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贯彻党的十九大和十九届历次全会精神，落实党中央国务院和省委省政府关于就业优先战略、创新驱动发展战略、人才强国战略和乡村振兴战略</w:t>
      </w:r>
      <w:r>
        <w:rPr>
          <w:rFonts w:hint="eastAsia" w:ascii="仿宋_GB2312" w:hAnsi="仿宋_GB2312" w:eastAsia="仿宋_GB2312" w:cs="仿宋_GB2312"/>
          <w:sz w:val="32"/>
          <w:szCs w:val="32"/>
          <w:lang w:eastAsia="zh-CN"/>
        </w:rPr>
        <w:t>的决策部署</w:t>
      </w:r>
      <w:r>
        <w:rPr>
          <w:rFonts w:hint="eastAsia" w:ascii="仿宋_GB2312" w:hAnsi="仿宋_GB2312" w:eastAsia="仿宋_GB2312" w:cs="仿宋_GB2312"/>
          <w:sz w:val="32"/>
          <w:szCs w:val="32"/>
        </w:rPr>
        <w:t>，以创新引领创业、创业带动就业、</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乡村振兴为核心价值和重点评价指标，大力营造全社会鼓励支持创新创业的浓厚氛围和良好环境，推进“大众创业、万众创新”向高质量纵深发展。</w:t>
      </w:r>
    </w:p>
    <w:p>
      <w:pPr>
        <w:rPr>
          <w:rFonts w:ascii="汉仪中宋简" w:hAnsi="汉仪中宋简" w:eastAsia="汉仪中宋简" w:cs="汉仪中宋简"/>
          <w:sz w:val="32"/>
          <w:szCs w:val="32"/>
        </w:rPr>
      </w:pPr>
      <w:r>
        <w:rPr>
          <w:rFonts w:hint="eastAsia" w:ascii="仿宋_GB2312" w:hAnsi="仿宋_GB2312" w:eastAsia="仿宋_GB2312" w:cs="仿宋_GB2312"/>
          <w:sz w:val="32"/>
          <w:szCs w:val="32"/>
        </w:rPr>
        <w:t>　　</w:t>
      </w:r>
      <w:r>
        <w:rPr>
          <w:rFonts w:hint="eastAsia" w:ascii="汉仪中宋简" w:hAnsi="汉仪中宋简" w:eastAsia="汉仪中宋简" w:cs="汉仪中宋简"/>
          <w:sz w:val="32"/>
          <w:szCs w:val="32"/>
        </w:rPr>
        <w:t>二、大赛主题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创响新时代  共圆中国梦</w:t>
      </w:r>
    </w:p>
    <w:p>
      <w:pPr>
        <w:rPr>
          <w:rFonts w:ascii="汉仪中宋简" w:hAnsi="汉仪中宋简" w:eastAsia="汉仪中宋简" w:cs="汉仪中宋简"/>
          <w:sz w:val="32"/>
          <w:szCs w:val="32"/>
        </w:rPr>
      </w:pPr>
      <w:r>
        <w:rPr>
          <w:rFonts w:hint="eastAsia" w:ascii="仿宋_GB2312" w:hAnsi="仿宋_GB2312" w:eastAsia="仿宋_GB2312" w:cs="仿宋_GB2312"/>
          <w:sz w:val="32"/>
          <w:szCs w:val="32"/>
        </w:rPr>
        <w:t>　　</w:t>
      </w:r>
      <w:r>
        <w:rPr>
          <w:rFonts w:hint="eastAsia" w:ascii="汉仪中宋简" w:hAnsi="汉仪中宋简" w:eastAsia="汉仪中宋简" w:cs="汉仪中宋简"/>
          <w:sz w:val="32"/>
          <w:szCs w:val="32"/>
        </w:rPr>
        <w:t>三、组织机构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（一）主办及承办单位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主办单位：省人力资源社会保障厅、省发展改革委、省教育厅、省科技厅、省财政厅、省农业农村厅、省乡村振兴局、省总工会、团省委、省妇联、省残联、邮储银行河南省分行</w:t>
      </w:r>
    </w:p>
    <w:p>
      <w:pPr>
        <w:pStyle w:val="2"/>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承办单位：省人力资源社会保障厅就业促进局牵头负责大赛相关事宜，承办主体赛和青年创意专项赛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省人力资源社会保障厅农民工工作处协助负责大赛相关事宜，承办劳务品牌专项赛和乡村振兴专项赛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（二）大赛组委会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成立省大赛组委会（名单见附件1），负责大赛的组织领导。组委会办公室设在省人力资源社会保障厅就业促进局，具体负责大赛的方案设计、统筹协调、组织实施、宣传发动、赛事保障等工作。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各地人力资源社会保障部门要积极联合当地有关部门和群团组织设立本地赛事组委会，负责比赛的宣传动员、报名审核、组织实施、后续赛事的协调管理、创业典型的推荐宣传和政策（资金）奖励扶持等工作。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（三）评审委员会</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确保大赛评选工作公开、公平、公正进行，省大赛组委会将邀请省大众创业导师、省内外就业创业研究和指导专家、成功创业企业家和创投行业领军人士组成大赛评审委员会。评审委员会对省大赛组委会负责，并在省大赛组委会监督下独立开展评审工作。</w:t>
      </w:r>
    </w:p>
    <w:p>
      <w:pPr>
        <w:ind w:firstLine="640" w:firstLineChars="200"/>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四、组织形式及赛制安排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“1+3”模式，即1个主体赛加3个专项赛。其中，主体赛分为制造业和服务业2个项目组；3个专项赛分别为青年创意专项赛、劳务品牌专项赛和乡村振兴专项赛。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大赛分两个阶段组织实施，即</w:t>
      </w:r>
      <w:r>
        <w:rPr>
          <w:rFonts w:hint="eastAsia" w:ascii="仿宋_GB2312" w:hAnsi="仿宋_GB2312" w:eastAsia="仿宋_GB2312" w:cs="仿宋_GB2312"/>
          <w:sz w:val="32"/>
          <w:szCs w:val="32"/>
        </w:rPr>
        <w:t>省辖市级选拔赛（劳务品牌专项赛可直接推荐）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全省决赛。</w:t>
      </w:r>
    </w:p>
    <w:p>
      <w:pPr>
        <w:spacing w:line="580" w:lineRule="exact"/>
        <w:ind w:left="638" w:leftChars="304"/>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（一）主体赛</w:t>
      </w:r>
    </w:p>
    <w:p>
      <w:pPr>
        <w:spacing w:line="58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主体赛</w:t>
      </w:r>
      <w:r>
        <w:rPr>
          <w:rFonts w:hint="eastAsia" w:ascii="仿宋" w:hAnsi="仿宋" w:eastAsia="仿宋"/>
          <w:color w:val="000000" w:themeColor="text1"/>
          <w:sz w:val="32"/>
          <w:szCs w:val="32"/>
          <w14:textFill>
            <w14:solidFill>
              <w14:schemeClr w14:val="tx1"/>
            </w14:solidFill>
          </w14:textFill>
        </w:rPr>
        <w:t>制造业项目组，既包括采矿冶炼、纺织服装、机械制造、产品代工、小商品制造等传统产业</w:t>
      </w:r>
      <w:r>
        <w:rPr>
          <w:rFonts w:hint="eastAsia" w:ascii="仿宋" w:hAnsi="仿宋" w:eastAsia="仿宋" w:cs="仿宋"/>
          <w:color w:val="000000" w:themeColor="text1"/>
          <w:sz w:val="32"/>
          <w:szCs w:val="32"/>
          <w14:textFill>
            <w14:solidFill>
              <w14:schemeClr w14:val="tx1"/>
            </w14:solidFill>
          </w14:textFill>
        </w:rPr>
        <w:t>的改进创新和升级迭代，</w:t>
      </w:r>
      <w:r>
        <w:rPr>
          <w:rFonts w:hint="eastAsia" w:ascii="仿宋" w:hAnsi="仿宋" w:eastAsia="仿宋"/>
          <w:color w:val="000000" w:themeColor="text1"/>
          <w:sz w:val="32"/>
          <w:szCs w:val="32"/>
          <w14:textFill>
            <w14:solidFill>
              <w14:schemeClr w14:val="tx1"/>
            </w14:solidFill>
          </w14:textFill>
        </w:rPr>
        <w:t>也包括信息技术、生物技术、新能源、新材料、高端装备、新能源汽车、绿色环保、航空航天、海洋装备、</w:t>
      </w:r>
      <w:r>
        <w:rPr>
          <w:rFonts w:hint="eastAsia" w:ascii="仿宋_GB2312" w:hAnsi="仿宋_GB2312" w:eastAsia="仿宋_GB2312" w:cs="仿宋_GB2312"/>
          <w:color w:val="000000" w:themeColor="text1"/>
          <w:sz w:val="32"/>
          <w:szCs w:val="32"/>
          <w14:textFill>
            <w14:solidFill>
              <w14:schemeClr w14:val="tx1"/>
            </w14:solidFill>
          </w14:textFill>
        </w:rPr>
        <w:t>互联网TMT</w:t>
      </w:r>
      <w:r>
        <w:rPr>
          <w:rFonts w:hint="eastAsia" w:ascii="仿宋" w:hAnsi="仿宋" w:eastAsia="仿宋" w:cs="仿宋"/>
          <w:color w:val="000000" w:themeColor="text1"/>
          <w:sz w:val="32"/>
          <w:szCs w:val="32"/>
          <w14:textFill>
            <w14:solidFill>
              <w14:schemeClr w14:val="tx1"/>
            </w14:solidFill>
          </w14:textFill>
        </w:rPr>
        <w:t>等新兴</w:t>
      </w:r>
      <w:r>
        <w:rPr>
          <w:rFonts w:hint="eastAsia" w:ascii="仿宋" w:hAnsi="仿宋" w:eastAsia="仿宋"/>
          <w:color w:val="000000" w:themeColor="text1"/>
          <w:sz w:val="32"/>
          <w:szCs w:val="32"/>
          <w14:textFill>
            <w14:solidFill>
              <w14:schemeClr w14:val="tx1"/>
            </w14:solidFill>
          </w14:textFill>
        </w:rPr>
        <w:t>产业。服务业项目组，既包</w:t>
      </w:r>
      <w:r>
        <w:rPr>
          <w:rFonts w:hint="eastAsia" w:ascii="仿宋" w:hAnsi="仿宋" w:eastAsia="仿宋" w:cs="仿宋"/>
          <w:color w:val="000000" w:themeColor="text1"/>
          <w:sz w:val="32"/>
          <w:szCs w:val="32"/>
          <w14:textFill>
            <w14:solidFill>
              <w14:schemeClr w14:val="tx1"/>
            </w14:solidFill>
          </w14:textFill>
        </w:rPr>
        <w:t>括</w:t>
      </w:r>
      <w:r>
        <w:rPr>
          <w:rFonts w:hint="eastAsia" w:ascii="仿宋" w:hAnsi="仿宋" w:eastAsia="仿宋" w:cs="仿宋"/>
          <w:color w:val="000000" w:themeColor="text1"/>
          <w:sz w:val="32"/>
          <w:szCs w:val="32"/>
          <w:shd w:val="clear" w:color="auto" w:fill="FFFFFF"/>
          <w14:textFill>
            <w14:solidFill>
              <w14:schemeClr w14:val="tx1"/>
            </w14:solidFill>
          </w14:textFill>
        </w:rPr>
        <w:t>商贸、餐饮、住宿、</w:t>
      </w:r>
      <w:r>
        <w:rPr>
          <w:rFonts w:hint="eastAsia" w:ascii="仿宋" w:hAnsi="仿宋" w:eastAsia="仿宋"/>
          <w:color w:val="000000" w:themeColor="text1"/>
          <w:sz w:val="32"/>
          <w:szCs w:val="32"/>
          <w14:textFill>
            <w14:solidFill>
              <w14:schemeClr w14:val="tx1"/>
            </w14:solidFill>
          </w14:textFill>
        </w:rPr>
        <w:t>家政、物业</w:t>
      </w:r>
      <w:r>
        <w:rPr>
          <w:rFonts w:hint="eastAsia" w:ascii="仿宋" w:hAnsi="仿宋" w:eastAsia="仿宋" w:cs="仿宋"/>
          <w:color w:val="000000" w:themeColor="text1"/>
          <w:sz w:val="32"/>
          <w:szCs w:val="32"/>
          <w:shd w:val="clear" w:color="auto" w:fill="FFFFFF"/>
          <w14:textFill>
            <w14:solidFill>
              <w14:schemeClr w14:val="tx1"/>
            </w14:solidFill>
          </w14:textFill>
        </w:rPr>
        <w:t>等传统服务业项目，也</w:t>
      </w:r>
      <w:r>
        <w:rPr>
          <w:rFonts w:hint="eastAsia" w:ascii="仿宋" w:hAnsi="仿宋" w:eastAsia="仿宋" w:cs="仿宋"/>
          <w:color w:val="000000" w:themeColor="text1"/>
          <w:sz w:val="32"/>
          <w:szCs w:val="32"/>
          <w14:textFill>
            <w14:solidFill>
              <w14:schemeClr w14:val="tx1"/>
            </w14:solidFill>
          </w14:textFill>
        </w:rPr>
        <w:t>包括服务研发设计、电商物流、法律</w:t>
      </w:r>
      <w:r>
        <w:rPr>
          <w:rFonts w:hint="eastAsia" w:ascii="仿宋" w:hAnsi="仿宋" w:eastAsia="仿宋"/>
          <w:color w:val="000000" w:themeColor="text1"/>
          <w:sz w:val="32"/>
          <w:szCs w:val="32"/>
          <w14:textFill>
            <w14:solidFill>
              <w14:schemeClr w14:val="tx1"/>
            </w14:solidFill>
          </w14:textFill>
        </w:rPr>
        <w:t>服务、教育培训、人力资源、健康医养、文</w:t>
      </w:r>
      <w:r>
        <w:rPr>
          <w:rFonts w:hint="eastAsia" w:ascii="仿宋" w:hAnsi="仿宋" w:eastAsia="仿宋" w:cs="仿宋"/>
          <w:color w:val="000000" w:themeColor="text1"/>
          <w:sz w:val="32"/>
          <w:szCs w:val="32"/>
          <w:shd w:val="clear" w:color="auto" w:fill="FFFFFF"/>
          <w14:textFill>
            <w14:solidFill>
              <w14:schemeClr w14:val="tx1"/>
            </w14:solidFill>
          </w14:textFill>
        </w:rPr>
        <w:t>体旅游等现代服务业。</w:t>
      </w:r>
    </w:p>
    <w:p>
      <w:pPr>
        <w:pStyle w:val="2"/>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年满16周岁的各类创业群体均可报名参赛，项目所在地位于河南行政区域内。</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（二）青年创意专项赛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面向16至35周岁的高校及技工院校在校生、毕业生等青年群体，项目类型不限，须有技术、产品、模式等方面的创新成果，有完整的创业计划书。    </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（三）劳务品牌专项赛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面向各类依托、运用劳务品牌培育、开发和创业的项目。年满16周岁的各类创业群体均可报名参赛，项目所在地位于河南行政区域内。</w:t>
      </w:r>
    </w:p>
    <w:p>
      <w:pPr>
        <w:numPr>
          <w:ilvl w:val="255"/>
          <w:numId w:val="0"/>
        </w:numPr>
        <w:spacing w:line="580" w:lineRule="exact"/>
        <w:ind w:firstLine="640" w:firstLineChars="200"/>
        <w:rPr>
          <w:rFonts w:ascii="楷体" w:hAnsi="楷体" w:eastAsia="楷体"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w:t>
      </w:r>
      <w:r>
        <w:rPr>
          <w:rFonts w:hint="eastAsia" w:ascii="楷体" w:hAnsi="楷体" w:eastAsia="楷体"/>
          <w:color w:val="000000" w:themeColor="text1"/>
          <w:sz w:val="32"/>
          <w:szCs w:val="32"/>
          <w14:textFill>
            <w14:solidFill>
              <w14:schemeClr w14:val="tx1"/>
            </w14:solidFill>
          </w14:textFill>
        </w:rPr>
        <w:t>乡村振兴专项赛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面向各类乡村创业项目，如农业科技、特色种养殖、农产品加工、农村电商物流、乡村旅游、传统手工艺、文化传承与创新、乡土人才培育开发等。</w:t>
      </w:r>
    </w:p>
    <w:p>
      <w:pPr>
        <w:spacing w:line="580" w:lineRule="exact"/>
        <w:ind w:firstLine="640" w:firstLineChars="200"/>
        <w:rPr>
          <w:rFonts w:ascii="仿宋" w:hAnsi="仿宋" w:eastAsia="仿宋" w:cs="仿宋"/>
          <w:color w:val="FF0000"/>
          <w:sz w:val="32"/>
          <w:szCs w:val="32"/>
        </w:rPr>
      </w:pPr>
      <w:r>
        <w:rPr>
          <w:rFonts w:hint="eastAsia" w:ascii="仿宋" w:hAnsi="仿宋" w:eastAsia="仿宋"/>
          <w:color w:val="000000" w:themeColor="text1"/>
          <w:sz w:val="32"/>
          <w:szCs w:val="32"/>
          <w14:textFill>
            <w14:solidFill>
              <w14:schemeClr w14:val="tx1"/>
            </w14:solidFill>
          </w14:textFill>
        </w:rPr>
        <w:t>年满16周岁的各类创业群体均可报名参赛，项目所在</w:t>
      </w:r>
      <w:r>
        <w:rPr>
          <w:rFonts w:hint="eastAsia" w:ascii="仿宋" w:hAnsi="仿宋" w:eastAsia="仿宋" w:cs="仿宋"/>
          <w:color w:val="000000" w:themeColor="text1"/>
          <w:sz w:val="32"/>
          <w:szCs w:val="32"/>
          <w14:textFill>
            <w14:solidFill>
              <w14:schemeClr w14:val="tx1"/>
            </w14:solidFill>
          </w14:textFill>
        </w:rPr>
        <w:t>地位于河南行政区域内，限于下辖乡镇农村的县域以内（包括市辖郊区、县级市、县）注册、生产与经营。</w:t>
      </w:r>
    </w:p>
    <w:p>
      <w:pPr>
        <w:ind w:firstLine="640" w:firstLineChars="200"/>
        <w:rPr>
          <w:rFonts w:ascii="汉仪中宋简" w:hAnsi="汉仪中宋简" w:eastAsia="汉仪中宋简" w:cs="汉仪中宋简"/>
        </w:rPr>
      </w:pPr>
      <w:r>
        <w:rPr>
          <w:rFonts w:hint="eastAsia" w:ascii="汉仪中宋简" w:hAnsi="汉仪中宋简" w:eastAsia="汉仪中宋简" w:cs="汉仪中宋简"/>
          <w:sz w:val="32"/>
          <w:szCs w:val="32"/>
        </w:rPr>
        <w:t>五、报名参赛条件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参赛项目应符合国家法律法规和国家产业政策，经营规范，社会信誉良好，无不良记录，不侵犯任何第三方知识产权。前五届“豫创天下”创业创新大赛和第一届“凤归中原”返乡创业大赛全省决赛获一、二、三等奖的项目不得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（一）主体赛、劳务品牌专项赛、乡村振兴专项赛报名参赛条件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1.截至2022年5月31日，在市场监督管理部门已登记注册且未满5年的企业或机构。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2.参赛项目具有创新性的技术、产品或经营服务模式, 具有较高成长潜力，项目的产品、经营属于同一参赛主体，且对技术有合法使用权。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3.参赛项目须为原创性创新项目，不存在知识产权争议，不会侵犯第三方的知识产权、所有权、使用权和处置权。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4.参赛者须为该项目的第一创始人或核心团队成员。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（二）青年创意专项赛报名参赛条件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1.项目第一创始人须为截至2022年5月31日，已满16周岁、不超过35周岁的高校及技工院校在校生、毕业生等青年群体。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2.项目尚未在市场监督管理部门登记注册。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3.项目在技术、产品、模式等方面有创新，有完整的创业计划书，具备落地发展必要条件，未来成长潜力较大。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4.项目不存在知识产权争议，不会侵犯第三方的知识产权、所有权、使用权和处置权。</w:t>
      </w:r>
    </w:p>
    <w:p>
      <w:pPr>
        <w:ind w:firstLine="640" w:firstLineChars="200"/>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六、赛事流程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（一）大赛启动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时间：2022年2月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制定下发大赛通知，成立省大赛组委会，广泛开展宣传发动。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（二）报名和审核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报名和审核由各地自行组织，按主体赛2个组别、青年创意专项赛、劳务品牌专项赛、乡村振兴专项赛分类报名，不得兼报。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报名截止时间：2022年4月30日。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审核确认时间：截止2022年5月8日。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组委会对本地报名项目进行资格审核，填写《第五届“中国创翼”创业创新大赛河南省分区赛暨“豫创天下”“凤归中原”创业大赛参赛项目报名及资格审核情况统计表》（见附件2），务必于5月10日前将电子版报省大赛组委会办公室（hnrstcyfwc@163.com）。</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（三）省辖市级选拔赛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时间：截止2022年5月31日。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各地自行组织选拔赛。各地举办省辖市级选拔赛时，要尽量按照省大赛组委会制订的赛事规则和评审标准来实施，以利于参赛选手提前适应后续赛事规则。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省辖市级选拔赛要严格落实疫情防控要求，合理安排组织方式，坚决防止疫情在大赛活动中扩散。除劳务品牌专项赛外，各地原则上须采取项目路演方式举办选拔赛，有困难或特殊情况不能举办的，需经省大赛组委会同意后，按照统一规则，采取专家集中评审等方式对本地参赛项目进行选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各地可至多选拔推荐主体赛2个组别各3个项目、青年创意专项赛2个项目、乡村振兴专项赛2个项目、劳务品牌专项赛2个项目，参加全省决赛。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组委会要在选拔赛结束后一周内（最晚于2022年6月5日前），将推荐参加全省决赛的项目资料上报省大赛组委会办公室（hnrstcyfwc@163.com）。上报的项目资料清单将在实施细则中明确。同时，还需将当地赛事总结、各阶段精彩视频资料（约5分钟）和照片（不少于15张，需体现赛事名称及路演现状，且每张照片都要有详细标注）提交省大赛组委会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（三）全省决赛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时间：2022年6月30日前，具体时间另行通知。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全省决赛由省大赛组委会统一组织实施。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每个项目参赛不超过3人，原则上采取现场路演方式进行，如遇特殊情况不能举办，按照统一规则，采取专家集中评审等方式对参赛项目进行选拔。现场路演评分的组织规则及评定标准将在实施细则中明确。</w:t>
      </w:r>
    </w:p>
    <w:p>
      <w:pPr>
        <w:ind w:firstLine="640" w:firstLineChars="200"/>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七、评审标准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出“创新引领创业，创业带动就业”导向，重点关注项目的创新性、示范性、引领性及带动就业、助力乡村振兴等社会价值。“创新”，主要围绕项目的产品、技术、经营模式、管理方式等评分；“创业带动就业”，主要围绕项目直接提供的就业岗位数量、带动上下游产业就业规模等方面进行打分。“助力乡村振兴”，主要围绕项目吸纳就近就地就业数量及质量，带动当地产业发展、资源利用、民族文化传承，以及对地区经济社会发展贡献等方面评分。</w:t>
      </w:r>
    </w:p>
    <w:p>
      <w:pPr>
        <w:ind w:firstLine="640" w:firstLineChars="200"/>
        <w:rPr>
          <w:rFonts w:ascii="仿宋_GB2312" w:hAnsi="仿宋_GB2312" w:eastAsia="仿宋_GB2312" w:cs="仿宋_GB2312"/>
          <w:b/>
          <w:bCs/>
          <w:sz w:val="32"/>
          <w:szCs w:val="32"/>
        </w:rPr>
      </w:pPr>
      <w:r>
        <w:rPr>
          <w:rFonts w:hint="eastAsia" w:ascii="汉仪中宋简" w:hAnsi="汉仪中宋简" w:eastAsia="汉仪中宋简" w:cs="汉仪中宋简"/>
          <w:sz w:val="32"/>
          <w:szCs w:val="32"/>
        </w:rPr>
        <w:t>八、奖励与扶持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获奖项目奖励：全省决赛主体赛2个组别和3个专项赛分设一等奖1名、二等奖2名、三等奖3名、优秀奖5名。省大赛组委会对获得全省决赛一、二、三等奖、优秀奖的项目，颁发奖杯和证书，并</w:t>
      </w:r>
      <w:r>
        <w:rPr>
          <w:rFonts w:hint="eastAsia" w:ascii="仿宋_GB2312" w:hAnsi="仿宋_GB2312" w:eastAsia="仿宋_GB2312" w:cs="仿宋_GB2312"/>
          <w:sz w:val="32"/>
          <w:szCs w:val="32"/>
          <w:lang w:eastAsia="zh-CN"/>
        </w:rPr>
        <w:t>对一、二、三等奖</w:t>
      </w:r>
      <w:r>
        <w:rPr>
          <w:rFonts w:hint="eastAsia" w:ascii="仿宋_GB2312" w:hAnsi="仿宋_GB2312" w:eastAsia="仿宋_GB2312" w:cs="仿宋_GB2312"/>
          <w:sz w:val="32"/>
          <w:szCs w:val="32"/>
        </w:rPr>
        <w:t>分别给予相应的奖金。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优秀组织单位奖：对选拔赛期间按规定统一名称举办路演赛，组织发动得力、社会影响</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大、参赛项目数量多、工作成效明显、未发生违规事件的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授予优秀组织单位奖并颁发奖牌。出现以下情况的，将“一票否决”：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（1）未按规定使用 “中国创翼”和“豫创天下”“凤归中原”名称；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（2）大赛过程中出现违规事件；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（3）未按大赛组委会要求的时间节点组织比赛和未及时上报相关材料（如通过资格审核后的报名参赛项目数量和清单、参加全省决赛项目清单和材料等）。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特别贡献奖：对大赛提供大力支持的社会机构、企业和个人授予特别贡献奖并颁发证书。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大赛组委会依托各类新闻媒体，对参加全省决赛的有代表性的项目进行宣传推广，提升创业项目和创业者知名度，帮助其对接资金和市场，拓宽其市场发展渠道。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对经全省决赛脱颖而出的项目的第一创始人，省大赛组委会将区分所属的创业者群体，从中选树一批有代表性的典型人物，广泛宣传，发挥典型示范引领作用。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各地人社部门积极协调其他相关部门，将大赛评选结果与本地创业扶持、创业服务、人才鼓励等政策措施相挂钩，对省赛获奖项目，可适当放宽创业担保贷款申请条件，加大资金等政策扶持力度，在入驻园区、贴息贷款、培训辅导、资金扶持等方面给予优先扶持。</w:t>
      </w:r>
    </w:p>
    <w:p>
      <w:pPr>
        <w:rPr>
          <w:rFonts w:ascii="汉仪中宋简" w:hAnsi="汉仪中宋简" w:eastAsia="汉仪中宋简" w:cs="汉仪中宋简"/>
          <w:sz w:val="32"/>
          <w:szCs w:val="32"/>
        </w:rPr>
      </w:pPr>
      <w:r>
        <w:rPr>
          <w:rFonts w:hint="eastAsia" w:ascii="仿宋_GB2312" w:hAnsi="仿宋_GB2312" w:eastAsia="仿宋_GB2312" w:cs="仿宋_GB2312"/>
          <w:sz w:val="32"/>
          <w:szCs w:val="32"/>
        </w:rPr>
        <w:t>　　</w:t>
      </w:r>
      <w:r>
        <w:rPr>
          <w:rFonts w:hint="eastAsia" w:ascii="汉仪中宋简" w:hAnsi="汉仪中宋简" w:eastAsia="汉仪中宋简" w:cs="汉仪中宋简"/>
          <w:sz w:val="32"/>
          <w:szCs w:val="32"/>
        </w:rPr>
        <w:t>九、宣传发动与配套活动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大赛启动后，大赛组委会将广泛发动各类媒体对大赛进行全方位、多角度宣传报道，宣传地方好的做法，树立更多的经验典型，提升大赛的社会影响力和关注度，积极营造“大众创业，万众创新”的舆论氛围。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丰富活动内容，提升大赛影响，各地应在当地选拔赛期间组织开展创业大讲堂、创业培训、创投对接等配套活动，增强活动成效。省大赛组委会鼓励各类创业服务机构和媒体充分发挥作用，积极参与大赛相关活动，并为参赛项目提供指导、培训、推广、投融资等方面的深度服务。</w:t>
      </w:r>
    </w:p>
    <w:p>
      <w:pPr>
        <w:rPr>
          <w:rFonts w:ascii="汉仪中宋简" w:hAnsi="汉仪中宋简" w:eastAsia="汉仪中宋简" w:cs="汉仪中宋简"/>
          <w:sz w:val="32"/>
          <w:szCs w:val="32"/>
        </w:rPr>
      </w:pPr>
      <w:r>
        <w:rPr>
          <w:rFonts w:hint="eastAsia" w:ascii="仿宋_GB2312" w:hAnsi="仿宋_GB2312" w:eastAsia="仿宋_GB2312" w:cs="仿宋_GB2312"/>
          <w:sz w:val="32"/>
          <w:szCs w:val="32"/>
        </w:rPr>
        <w:t>　　</w:t>
      </w:r>
      <w:r>
        <w:rPr>
          <w:rFonts w:hint="eastAsia" w:ascii="汉仪中宋简" w:hAnsi="汉仪中宋简" w:eastAsia="汉仪中宋简" w:cs="汉仪中宋简"/>
          <w:sz w:val="32"/>
          <w:szCs w:val="32"/>
        </w:rPr>
        <w:t>十、经费保障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各地赛事所需经费由各地组委会负责，各地举办大赛及配套活动时可按规定接受社会资助。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全省决赛所需活动经费由省财政按规定从就业补助资金中列支，获奖项目奖金由省大赛组委会从社会赞助资金中解决</w:t>
      </w:r>
      <w:r>
        <w:rPr>
          <w:rFonts w:hint="eastAsia" w:ascii="仿宋_GB2312" w:hAnsi="仿宋_GB2312" w:eastAsia="仿宋_GB2312" w:cs="仿宋_GB2312"/>
          <w:sz w:val="32"/>
          <w:szCs w:val="32"/>
        </w:rPr>
        <w:t>。各地组队参加</w:t>
      </w:r>
      <w:r>
        <w:rPr>
          <w:rFonts w:hint="eastAsia" w:ascii="仿宋_GB2312" w:hAnsi="仿宋_GB2312" w:eastAsia="仿宋_GB2312" w:cs="仿宋_GB2312"/>
          <w:sz w:val="32"/>
          <w:szCs w:val="32"/>
          <w:lang w:eastAsia="zh-CN"/>
        </w:rPr>
        <w:t>全省决赛</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带队领导、工作人员和参赛选手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交通食宿费自理。</w:t>
      </w:r>
    </w:p>
    <w:p>
      <w:pPr>
        <w:pStyle w:val="2"/>
        <w:ind w:firstLine="640" w:firstLineChars="200"/>
        <w:rPr>
          <w:rFonts w:hint="eastAsia" w:ascii="仿宋_GB2312" w:hAnsi="仿宋_GB2312" w:eastAsia="仿宋_GB2312" w:cs="仿宋_GB2312"/>
          <w:sz w:val="32"/>
          <w:szCs w:val="32"/>
        </w:rPr>
      </w:pP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1.第五届“中国创翼”创业创新大赛河南省分区赛暨“豫创天下”“凤归中原”创业大赛组委会名单</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2.第五届“中国创翼”创业创新大赛河南省分区赛暨“豫创天下”“凤归中原”创业大赛参赛项目报名及资格审核情况统计表</w:t>
      </w: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rPr>
          <w:rFonts w:hint="eastAsia" w:ascii="黑体" w:hAnsi="宋体" w:eastAsia="黑体" w:cs="黑体"/>
          <w:color w:val="000000"/>
          <w:sz w:val="31"/>
          <w:szCs w:val="31"/>
        </w:rPr>
      </w:pPr>
    </w:p>
    <w:p>
      <w:pPr>
        <w:pStyle w:val="4"/>
        <w:widowControl/>
        <w:spacing w:line="555" w:lineRule="atLeast"/>
      </w:pPr>
      <w:r>
        <w:rPr>
          <w:rFonts w:ascii="黑体" w:hAnsi="宋体" w:eastAsia="黑体" w:cs="黑体"/>
          <w:color w:val="000000"/>
          <w:sz w:val="31"/>
          <w:szCs w:val="31"/>
        </w:rPr>
        <w:t>附件1</w:t>
      </w:r>
    </w:p>
    <w:p>
      <w:pPr>
        <w:pStyle w:val="2"/>
        <w:jc w:val="center"/>
        <w:rPr>
          <w:rFonts w:hint="eastAsia" w:ascii="汉仪中宋简" w:hAnsi="汉仪中宋简" w:eastAsia="汉仪中宋简" w:cs="汉仪中宋简"/>
          <w:spacing w:val="0"/>
          <w:sz w:val="36"/>
          <w:szCs w:val="36"/>
        </w:rPr>
      </w:pPr>
      <w:r>
        <w:rPr>
          <w:rFonts w:hint="eastAsia" w:ascii="汉仪中宋简" w:hAnsi="汉仪中宋简" w:eastAsia="汉仪中宋简" w:cs="汉仪中宋简"/>
          <w:spacing w:val="0"/>
          <w:sz w:val="36"/>
          <w:szCs w:val="36"/>
        </w:rPr>
        <w:t>第五届“中国创翼”创业创新大赛河南省分区赛</w:t>
      </w:r>
    </w:p>
    <w:p>
      <w:pPr>
        <w:pStyle w:val="2"/>
        <w:jc w:val="center"/>
        <w:rPr>
          <w:rFonts w:ascii="仿宋_GB2312" w:hAnsi="仿宋_GB2312" w:eastAsia="仿宋_GB2312" w:cs="仿宋_GB2312"/>
          <w:spacing w:val="-20"/>
          <w:sz w:val="32"/>
          <w:szCs w:val="32"/>
        </w:rPr>
      </w:pPr>
      <w:r>
        <w:rPr>
          <w:rFonts w:hint="eastAsia" w:ascii="汉仪中宋简" w:hAnsi="汉仪中宋简" w:eastAsia="汉仪中宋简" w:cs="汉仪中宋简"/>
          <w:spacing w:val="-20"/>
          <w:sz w:val="36"/>
          <w:szCs w:val="36"/>
        </w:rPr>
        <w:t>暨“豫创天下”“凤归中原”创业大赛组委会名单</w:t>
      </w:r>
    </w:p>
    <w:p>
      <w:pPr>
        <w:pStyle w:val="2"/>
        <w:ind w:firstLine="640" w:firstLineChars="200"/>
        <w:jc w:val="left"/>
        <w:rPr>
          <w:rFonts w:hint="eastAsia" w:ascii="汉仪中宋简" w:hAnsi="汉仪中宋简" w:eastAsia="汉仪中宋简" w:cs="汉仪中宋简"/>
          <w:sz w:val="32"/>
          <w:szCs w:val="32"/>
        </w:rPr>
      </w:pPr>
    </w:p>
    <w:p>
      <w:pPr>
        <w:pStyle w:val="2"/>
        <w:ind w:firstLine="640" w:firstLineChars="200"/>
        <w:jc w:val="left"/>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主任</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张国伟    省人力资源社会保障厅党组书记、厅长</w:t>
      </w:r>
    </w:p>
    <w:p>
      <w:pPr>
        <w:pStyle w:val="2"/>
        <w:ind w:firstLine="640" w:firstLineChars="200"/>
        <w:jc w:val="left"/>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副主任</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甄    省人力资源社会保障厅党组成员、副厅长</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杨昆锋    省人力资源社会保障厅党组成员、副厅长</w:t>
      </w:r>
    </w:p>
    <w:p>
      <w:pPr>
        <w:pStyle w:val="2"/>
        <w:ind w:firstLine="1600" w:firstLineChars="5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省人力资源社会保障厅</w:t>
      </w:r>
      <w:r>
        <w:rPr>
          <w:rFonts w:hint="eastAsia" w:ascii="仿宋_GB2312" w:hAnsi="仿宋_GB2312" w:eastAsia="仿宋_GB2312" w:cs="仿宋_GB2312"/>
          <w:sz w:val="32"/>
          <w:szCs w:val="32"/>
          <w:lang w:eastAsia="zh-CN"/>
        </w:rPr>
        <w:t>就业促进局局长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李四清</w:t>
      </w:r>
      <w:r>
        <w:rPr>
          <w:rFonts w:hint="eastAsia" w:ascii="仿宋_GB2312" w:hAnsi="仿宋_GB2312" w:eastAsia="仿宋_GB2312" w:cs="仿宋_GB2312"/>
          <w:sz w:val="32"/>
          <w:szCs w:val="32"/>
        </w:rPr>
        <w:t>    省人力资源社会保障厅</w:t>
      </w:r>
      <w:r>
        <w:rPr>
          <w:rFonts w:hint="eastAsia" w:ascii="仿宋_GB2312" w:hAnsi="仿宋_GB2312" w:eastAsia="仿宋_GB2312" w:cs="仿宋_GB2312"/>
          <w:sz w:val="32"/>
          <w:szCs w:val="32"/>
          <w:lang w:eastAsia="zh-CN"/>
        </w:rPr>
        <w:t>二级巡视员</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唐兴丽</w:t>
      </w:r>
      <w:r>
        <w:rPr>
          <w:rFonts w:hint="eastAsia" w:ascii="仿宋_GB2312" w:hAnsi="仿宋_GB2312" w:eastAsia="仿宋_GB2312" w:cs="仿宋_GB2312"/>
          <w:sz w:val="32"/>
          <w:szCs w:val="32"/>
        </w:rPr>
        <w:t>    省发展改革委</w:t>
      </w:r>
      <w:r>
        <w:rPr>
          <w:rFonts w:hint="eastAsia" w:ascii="仿宋_GB2312" w:hAnsi="仿宋_GB2312" w:eastAsia="仿宋_GB2312" w:cs="仿宋_GB2312"/>
          <w:sz w:val="32"/>
          <w:szCs w:val="32"/>
          <w:lang w:eastAsia="zh-CN"/>
        </w:rPr>
        <w:t>党组成员、副主任</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吕  冰</w:t>
      </w:r>
      <w:r>
        <w:rPr>
          <w:rFonts w:hint="eastAsia" w:ascii="仿宋_GB2312" w:hAnsi="仿宋_GB2312" w:eastAsia="仿宋_GB2312" w:cs="仿宋_GB2312"/>
          <w:sz w:val="32"/>
          <w:szCs w:val="32"/>
        </w:rPr>
        <w:t>    中共河南省委教育工作委员会专职委员</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陈志强    省科技厅党组成员、副厅长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白振勇    省</w:t>
      </w:r>
      <w:r>
        <w:rPr>
          <w:rFonts w:hint="eastAsia" w:ascii="仿宋_GB2312" w:hAnsi="仿宋_GB2312" w:eastAsia="仿宋_GB2312" w:cs="仿宋_GB2312"/>
          <w:sz w:val="32"/>
          <w:szCs w:val="32"/>
          <w:lang w:eastAsia="zh-CN"/>
        </w:rPr>
        <w:t>财政厅二级巡视员</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刘保仓    省</w:t>
      </w:r>
      <w:r>
        <w:rPr>
          <w:rFonts w:hint="eastAsia" w:ascii="仿宋_GB2312" w:hAnsi="仿宋_GB2312" w:eastAsia="仿宋_GB2312" w:cs="仿宋_GB2312"/>
          <w:sz w:val="32"/>
          <w:szCs w:val="32"/>
          <w:lang w:eastAsia="zh-CN"/>
        </w:rPr>
        <w:t>农业农村厅副厅长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王惠民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省乡村振兴局党组成员、副局长</w:t>
      </w:r>
    </w:p>
    <w:p>
      <w:pPr>
        <w:pStyle w:val="2"/>
        <w:ind w:firstLine="640" w:firstLineChars="200"/>
        <w:jc w:val="left"/>
        <w:rPr>
          <w:rFonts w:ascii="汉仪中宋简" w:hAnsi="汉仪中宋简" w:eastAsia="汉仪中宋简" w:cs="汉仪中宋简"/>
          <w:sz w:val="32"/>
          <w:szCs w:val="32"/>
        </w:rPr>
      </w:pPr>
      <w:r>
        <w:rPr>
          <w:rFonts w:hint="eastAsia" w:ascii="仿宋_GB2312" w:hAnsi="仿宋_GB2312" w:eastAsia="仿宋_GB2312" w:cs="仿宋_GB2312"/>
          <w:sz w:val="32"/>
          <w:szCs w:val="32"/>
          <w:lang w:val="en-US" w:eastAsia="zh-CN"/>
        </w:rPr>
        <w:t xml:space="preserve">周红霞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总工会副主席、党组成员</w:t>
      </w:r>
    </w:p>
    <w:p>
      <w:pPr>
        <w:pStyle w:val="2"/>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共青团河南省委副书记</w:t>
      </w:r>
    </w:p>
    <w:p>
      <w:pPr>
        <w:widowControl w:val="0"/>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崔爱兰    省妇联党组成员、副主席 </w:t>
      </w:r>
    </w:p>
    <w:p>
      <w:pPr>
        <w:widowControl w:val="0"/>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孙立忠    省残联党组成员、副理事长</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庄号召   邮储银行河南省分行党委委员</w:t>
      </w:r>
    </w:p>
    <w:p>
      <w:pPr>
        <w:pStyle w:val="2"/>
        <w:ind w:firstLine="640" w:firstLineChars="200"/>
        <w:jc w:val="left"/>
        <w:rPr>
          <w:rFonts w:ascii="汉仪中宋简" w:hAnsi="汉仪中宋简" w:eastAsia="汉仪中宋简" w:cs="汉仪中宋简"/>
          <w:sz w:val="32"/>
          <w:szCs w:val="32"/>
        </w:rPr>
      </w:pPr>
      <w:r>
        <w:rPr>
          <w:rFonts w:hint="eastAsia" w:ascii="汉仪中宋简" w:hAnsi="汉仪中宋简" w:eastAsia="汉仪中宋简" w:cs="汉仪中宋简"/>
          <w:sz w:val="32"/>
          <w:szCs w:val="32"/>
        </w:rPr>
        <w:t>委员</w:t>
      </w:r>
    </w:p>
    <w:p>
      <w:pPr>
        <w:pStyle w:val="2"/>
        <w:ind w:firstLine="640" w:firstLineChars="200"/>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王中朝   </w:t>
      </w:r>
      <w:r>
        <w:rPr>
          <w:rFonts w:hint="eastAsia" w:ascii="仿宋_GB2312" w:hAnsi="仿宋_GB2312" w:eastAsia="仿宋_GB2312" w:cs="仿宋_GB2312"/>
          <w:spacing w:val="-20"/>
          <w:sz w:val="32"/>
          <w:szCs w:val="32"/>
        </w:rPr>
        <w:t>省人力资源社会保障厅就业促进局一级调研员</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刘现生</w:t>
      </w:r>
      <w:r>
        <w:rPr>
          <w:rFonts w:hint="eastAsia" w:ascii="仿宋_GB2312" w:hAnsi="仿宋_GB2312" w:eastAsia="仿宋_GB2312" w:cs="仿宋_GB2312"/>
          <w:sz w:val="32"/>
          <w:szCs w:val="32"/>
        </w:rPr>
        <w:t>    省人力资源社会保障厅</w:t>
      </w:r>
      <w:r>
        <w:rPr>
          <w:rFonts w:hint="eastAsia" w:ascii="仿宋_GB2312" w:hAnsi="仿宋_GB2312" w:eastAsia="仿宋_GB2312" w:cs="仿宋_GB2312"/>
          <w:sz w:val="32"/>
          <w:szCs w:val="32"/>
          <w:lang w:eastAsia="zh-CN"/>
        </w:rPr>
        <w:t>农民工工作处处</w:t>
      </w:r>
      <w:r>
        <w:rPr>
          <w:rFonts w:hint="eastAsia" w:ascii="仿宋_GB2312" w:hAnsi="仿宋_GB2312" w:eastAsia="仿宋_GB2312" w:cs="仿宋_GB2312"/>
          <w:sz w:val="32"/>
          <w:szCs w:val="32"/>
        </w:rPr>
        <w:t>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孙耀霖</w:t>
      </w:r>
      <w:r>
        <w:rPr>
          <w:rFonts w:hint="eastAsia" w:ascii="仿宋_GB2312" w:hAnsi="仿宋_GB2312" w:eastAsia="仿宋_GB2312" w:cs="仿宋_GB2312"/>
          <w:sz w:val="32"/>
          <w:szCs w:val="32"/>
        </w:rPr>
        <w:t>    省发展改革委</w:t>
      </w:r>
      <w:r>
        <w:rPr>
          <w:rFonts w:hint="eastAsia" w:ascii="仿宋_GB2312" w:hAnsi="仿宋_GB2312" w:eastAsia="仿宋_GB2312" w:cs="仿宋_GB2312"/>
          <w:sz w:val="32"/>
          <w:szCs w:val="32"/>
          <w:lang w:eastAsia="zh-CN"/>
        </w:rPr>
        <w:t>就业消费处处长</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  班</w:t>
      </w:r>
      <w:r>
        <w:rPr>
          <w:rFonts w:hint="eastAsia" w:ascii="仿宋_GB2312" w:hAnsi="仿宋_GB2312" w:eastAsia="仿宋_GB2312" w:cs="仿宋_GB2312"/>
          <w:sz w:val="32"/>
          <w:szCs w:val="32"/>
        </w:rPr>
        <w:t xml:space="preserve">    省教育厅学生处处长 </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刘云霞    省科技厅</w:t>
      </w:r>
      <w:r>
        <w:rPr>
          <w:rFonts w:hint="eastAsia" w:ascii="仿宋_GB2312" w:hAnsi="仿宋_GB2312" w:eastAsia="仿宋_GB2312" w:cs="仿宋_GB2312"/>
          <w:sz w:val="32"/>
          <w:szCs w:val="32"/>
          <w:lang w:eastAsia="zh-CN"/>
        </w:rPr>
        <w:t>科技企业与现代服务业科技处处长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张玉峰    省</w:t>
      </w:r>
      <w:r>
        <w:rPr>
          <w:rFonts w:hint="eastAsia" w:ascii="仿宋_GB2312" w:hAnsi="仿宋_GB2312" w:eastAsia="仿宋_GB2312" w:cs="仿宋_GB2312"/>
          <w:sz w:val="32"/>
          <w:szCs w:val="32"/>
          <w:lang w:eastAsia="zh-CN"/>
        </w:rPr>
        <w:t>财政厅社会保障处处长</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赵栓成    省</w:t>
      </w:r>
      <w:r>
        <w:rPr>
          <w:rFonts w:hint="eastAsia" w:ascii="仿宋_GB2312" w:hAnsi="仿宋_GB2312" w:eastAsia="仿宋_GB2312" w:cs="仿宋_GB2312"/>
          <w:sz w:val="32"/>
          <w:szCs w:val="32"/>
          <w:lang w:eastAsia="zh-CN"/>
        </w:rPr>
        <w:t>农业农村厅乡村产业发展处处长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施保清    </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开发指导处处长</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    省</w:t>
      </w:r>
      <w:r>
        <w:rPr>
          <w:rFonts w:hint="eastAsia" w:ascii="仿宋_GB2312" w:hAnsi="仿宋_GB2312" w:eastAsia="仿宋_GB2312" w:cs="仿宋_GB2312"/>
          <w:sz w:val="32"/>
          <w:szCs w:val="32"/>
          <w:lang w:eastAsia="zh-CN"/>
        </w:rPr>
        <w:t>总工会劳动和经济工作部副部长</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李山英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共青团河南省委青年发展部部长 </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张俊美    省妇联妇女发展部部长 </w:t>
      </w: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王鸿飞    省残联残疾人就业服务中心主任</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彭宽胜</w:t>
      </w:r>
      <w:r>
        <w:rPr>
          <w:rFonts w:hint="eastAsia" w:ascii="仿宋_GB2312" w:hAnsi="仿宋_GB2312" w:eastAsia="仿宋_GB2312" w:cs="仿宋_GB2312"/>
          <w:sz w:val="32"/>
          <w:szCs w:val="32"/>
        </w:rPr>
        <w:t>    邮储银行河南省分行</w:t>
      </w:r>
      <w:r>
        <w:rPr>
          <w:rFonts w:hint="eastAsia" w:ascii="仿宋_GB2312" w:hAnsi="仿宋_GB2312" w:eastAsia="仿宋_GB2312" w:cs="仿宋_GB2312"/>
          <w:sz w:val="32"/>
          <w:szCs w:val="32"/>
          <w:lang w:eastAsia="zh-CN"/>
        </w:rPr>
        <w:t>三农金融事业部总经理</w:t>
      </w:r>
    </w:p>
    <w:p>
      <w:pPr>
        <w:pStyle w:val="2"/>
        <w:ind w:firstLine="640" w:firstLineChars="200"/>
        <w:jc w:val="left"/>
        <w:rPr>
          <w:rFonts w:hint="eastAsia" w:ascii="汉仪中宋简" w:hAnsi="汉仪中宋简" w:eastAsia="汉仪中宋简" w:cs="汉仪中宋简"/>
          <w:sz w:val="32"/>
          <w:szCs w:val="32"/>
          <w:lang w:eastAsia="zh-CN"/>
        </w:rPr>
      </w:pPr>
      <w:r>
        <w:rPr>
          <w:rFonts w:hint="eastAsia" w:ascii="汉仪中宋简" w:hAnsi="汉仪中宋简" w:eastAsia="汉仪中宋简" w:cs="汉仪中宋简"/>
          <w:sz w:val="32"/>
          <w:szCs w:val="32"/>
          <w:lang w:eastAsia="zh-CN"/>
        </w:rPr>
        <w:t>办公室</w:t>
      </w:r>
    </w:p>
    <w:p>
      <w:pPr>
        <w:pStyle w:val="2"/>
        <w:ind w:left="638" w:leftChars="304"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吴军辉</w:t>
      </w:r>
      <w:r>
        <w:rPr>
          <w:rFonts w:hint="eastAsia" w:ascii="仿宋_GB2312" w:hAnsi="仿宋_GB2312" w:eastAsia="仿宋_GB2312" w:cs="仿宋_GB2312"/>
          <w:sz w:val="32"/>
          <w:szCs w:val="32"/>
        </w:rPr>
        <w:t xml:space="preserve">    省人力资源社会保障厅就业促进局</w:t>
      </w:r>
      <w:r>
        <w:rPr>
          <w:rFonts w:hint="eastAsia" w:ascii="仿宋_GB2312" w:hAnsi="仿宋_GB2312" w:eastAsia="仿宋_GB2312" w:cs="仿宋_GB2312"/>
          <w:sz w:val="32"/>
          <w:szCs w:val="32"/>
          <w:lang w:eastAsia="zh-CN"/>
        </w:rPr>
        <w:t>副局长</w:t>
      </w:r>
    </w:p>
    <w:p>
      <w:pPr>
        <w:pStyle w:val="2"/>
        <w:ind w:firstLine="640" w:firstLineChars="200"/>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省人力资源社会保障厅</w:t>
      </w:r>
      <w:r>
        <w:rPr>
          <w:rFonts w:hint="eastAsia" w:ascii="仿宋_GB2312" w:hAnsi="仿宋_GB2312" w:eastAsia="仿宋_GB2312" w:cs="仿宋_GB2312"/>
          <w:spacing w:val="-20"/>
          <w:sz w:val="32"/>
          <w:szCs w:val="32"/>
          <w:lang w:eastAsia="zh-CN"/>
        </w:rPr>
        <w:t>农民工工作处四级主任科员</w:t>
      </w:r>
    </w:p>
    <w:p>
      <w:pPr>
        <w:pStyle w:val="2"/>
        <w:ind w:left="638" w:leftChars="304" w:firstLine="0" w:firstLineChars="0"/>
        <w:jc w:val="left"/>
      </w:pPr>
      <w:r>
        <w:rPr>
          <w:rFonts w:hint="eastAsia" w:ascii="仿宋_GB2312" w:hAnsi="仿宋_GB2312" w:eastAsia="仿宋_GB2312" w:cs="仿宋_GB2312"/>
          <w:sz w:val="32"/>
          <w:szCs w:val="32"/>
          <w:lang w:eastAsia="zh-CN"/>
        </w:rPr>
        <w:t>王志浩</w:t>
      </w:r>
      <w:r>
        <w:rPr>
          <w:rFonts w:hint="eastAsia" w:ascii="仿宋_GB2312" w:hAnsi="仿宋_GB2312" w:eastAsia="仿宋_GB2312" w:cs="仿宋_GB2312"/>
          <w:sz w:val="32"/>
          <w:szCs w:val="32"/>
        </w:rPr>
        <w:t xml:space="preserve">    省人力资源社会保障厅就业促进局一级</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员</w:t>
      </w:r>
    </w:p>
    <w:p>
      <w:pPr>
        <w:pStyle w:val="4"/>
        <w:widowControl/>
        <w:spacing w:line="555" w:lineRule="atLeast"/>
      </w:pPr>
      <w:r>
        <w:rPr>
          <w:rFonts w:hint="eastAsia" w:ascii="宋体" w:hAnsi="宋体" w:cs="宋体"/>
          <w:color w:val="000000"/>
          <w:sz w:val="31"/>
          <w:szCs w:val="31"/>
        </w:rPr>
        <w:t>  </w:t>
      </w:r>
    </w:p>
    <w:p>
      <w:pPr>
        <w:pStyle w:val="4"/>
        <w:widowControl/>
        <w:spacing w:line="555" w:lineRule="atLeast"/>
        <w:rPr>
          <w:rFonts w:hint="eastAsia" w:ascii="宋体" w:hAnsi="宋体" w:cs="宋体"/>
          <w:color w:val="000000"/>
          <w:sz w:val="31"/>
          <w:szCs w:val="31"/>
        </w:rPr>
      </w:pPr>
      <w:r>
        <w:rPr>
          <w:rFonts w:hint="eastAsia" w:ascii="宋体" w:hAnsi="宋体" w:cs="宋体"/>
          <w:color w:val="000000"/>
          <w:sz w:val="31"/>
          <w:szCs w:val="31"/>
        </w:rPr>
        <w:t> </w:t>
      </w:r>
    </w:p>
    <w:p>
      <w:pPr>
        <w:pStyle w:val="4"/>
        <w:widowControl/>
        <w:spacing w:line="555" w:lineRule="atLeast"/>
        <w:rPr>
          <w:rFonts w:hint="eastAsia" w:ascii="宋体" w:hAnsi="宋体" w:cs="宋体"/>
          <w:color w:val="000000"/>
          <w:sz w:val="31"/>
          <w:szCs w:val="31"/>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s="黑体"/>
          <w:b w:val="0"/>
          <w:bCs w:val="0"/>
          <w:sz w:val="28"/>
          <w:szCs w:val="28"/>
          <w:lang w:val="en-US" w:eastAsia="zh-CN"/>
        </w:rPr>
      </w:pPr>
      <w:bookmarkStart w:id="0" w:name="_Toc5075"/>
      <w:bookmarkStart w:id="1" w:name="_Toc31988"/>
      <w:r>
        <w:rPr>
          <w:rFonts w:hint="eastAsia" w:ascii="黑体" w:hAnsi="黑体" w:eastAsia="黑体" w:cs="黑体"/>
          <w:b w:val="0"/>
          <w:bCs w:val="0"/>
          <w:sz w:val="28"/>
          <w:szCs w:val="28"/>
          <w:lang w:val="en-US" w:eastAsia="zh-CN"/>
        </w:rPr>
        <w:t>附件</w:t>
      </w:r>
      <w:bookmarkEnd w:id="0"/>
      <w:bookmarkEnd w:id="1"/>
      <w:r>
        <w:rPr>
          <w:rFonts w:hint="eastAsia" w:ascii="黑体" w:hAnsi="黑体" w:eastAsia="黑体" w:cs="黑体"/>
          <w:b w:val="0"/>
          <w:bCs w:val="0"/>
          <w:sz w:val="28"/>
          <w:szCs w:val="28"/>
          <w:lang w:val="en-US" w:eastAsia="zh-CN"/>
        </w:rPr>
        <w:t>2</w:t>
      </w:r>
    </w:p>
    <w:p>
      <w:pPr>
        <w:widowControl w:val="0"/>
        <w:jc w:val="center"/>
        <w:rPr>
          <w:rFonts w:hint="eastAsia" w:ascii="汉仪中宋简" w:hAnsi="汉仪中宋简" w:eastAsia="汉仪中宋简" w:cs="汉仪中宋简"/>
          <w:color w:val="000000"/>
          <w:kern w:val="0"/>
          <w:sz w:val="32"/>
          <w:szCs w:val="32"/>
          <w:lang w:val="en-US" w:eastAsia="zh-CN" w:bidi="ar"/>
        </w:rPr>
      </w:pPr>
      <w:r>
        <w:rPr>
          <w:rFonts w:hint="eastAsia" w:ascii="汉仪中宋简" w:hAnsi="汉仪中宋简" w:eastAsia="汉仪中宋简" w:cs="汉仪中宋简"/>
          <w:color w:val="000000"/>
          <w:kern w:val="0"/>
          <w:sz w:val="32"/>
          <w:szCs w:val="32"/>
          <w:lang w:val="en-US" w:eastAsia="zh-CN" w:bidi="ar"/>
        </w:rPr>
        <w:t>第五届“中国创翼”创业创新大赛河南省分区赛暨“豫创天下”“凤归中原”创业大赛</w:t>
      </w:r>
    </w:p>
    <w:p>
      <w:pPr>
        <w:widowControl w:val="0"/>
        <w:jc w:val="center"/>
        <w:rPr>
          <w:rFonts w:hint="eastAsia" w:ascii="汉仪中宋简" w:hAnsi="汉仪中宋简" w:eastAsia="汉仪中宋简" w:cs="汉仪中宋简"/>
          <w:color w:val="000000"/>
          <w:kern w:val="0"/>
          <w:sz w:val="32"/>
          <w:szCs w:val="32"/>
          <w:lang w:val="en-US" w:eastAsia="zh-CN" w:bidi="ar"/>
        </w:rPr>
      </w:pPr>
      <w:r>
        <w:rPr>
          <w:rFonts w:hint="eastAsia" w:ascii="汉仪中宋简" w:hAnsi="汉仪中宋简" w:eastAsia="汉仪中宋简" w:cs="汉仪中宋简"/>
          <w:color w:val="000000"/>
          <w:kern w:val="0"/>
          <w:sz w:val="32"/>
          <w:szCs w:val="32"/>
          <w:lang w:val="en-US" w:eastAsia="zh-CN" w:bidi="ar"/>
        </w:rPr>
        <w:t>参赛项目报名及资格审核情况统计表</w:t>
      </w:r>
    </w:p>
    <w:p>
      <w:pPr>
        <w:widowControl w:val="0"/>
        <w:ind w:firstLine="480" w:firstLineChars="200"/>
        <w:jc w:val="left"/>
        <w:rPr>
          <w:rFonts w:hint="eastAsia" w:ascii="文星标宋" w:hAnsi="文星标宋" w:eastAsia="文星标宋" w:cs="Times New Roman"/>
          <w:color w:val="000000"/>
          <w:kern w:val="0"/>
          <w:sz w:val="24"/>
          <w:szCs w:val="24"/>
          <w:lang w:val="en-US" w:eastAsia="zh-CN" w:bidi="ar"/>
        </w:rPr>
      </w:pPr>
      <w:r>
        <w:rPr>
          <w:rFonts w:hint="eastAsia" w:ascii="文星标宋" w:hAnsi="文星标宋" w:eastAsia="文星标宋" w:cs="Times New Roman"/>
          <w:color w:val="000000"/>
          <w:kern w:val="0"/>
          <w:sz w:val="24"/>
          <w:szCs w:val="24"/>
          <w:lang w:val="en-US" w:eastAsia="zh-CN" w:bidi="ar"/>
        </w:rPr>
        <w:t>省辖市（示范区）：</w:t>
      </w:r>
    </w:p>
    <w:tbl>
      <w:tblPr>
        <w:tblStyle w:val="5"/>
        <w:tblW w:w="13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984"/>
        <w:gridCol w:w="1036"/>
        <w:gridCol w:w="1128"/>
        <w:gridCol w:w="1128"/>
        <w:gridCol w:w="1128"/>
        <w:gridCol w:w="1128"/>
        <w:gridCol w:w="1128"/>
        <w:gridCol w:w="1128"/>
        <w:gridCol w:w="1128"/>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13116" w:type="dxa"/>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rPr>
            </w:pPr>
            <w:r>
              <w:rPr>
                <w:rFonts w:hint="eastAsia" w:ascii="Times New Roman" w:hAnsi="Times New Roman" w:eastAsia="仿宋_GB2312"/>
                <w:b/>
                <w:color w:val="000000"/>
                <w:kern w:val="0"/>
                <w:sz w:val="22"/>
                <w:szCs w:val="22"/>
                <w:lang w:val="en-US" w:eastAsia="zh-CN" w:bidi="ar"/>
              </w:rPr>
              <w:t>第一创始人所属类型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205" w:firstLineChars="50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-12700</wp:posOffset>
                  </wp:positionH>
                  <wp:positionV relativeFrom="paragraph">
                    <wp:posOffset>116205</wp:posOffset>
                  </wp:positionV>
                  <wp:extent cx="1227455" cy="363855"/>
                  <wp:effectExtent l="0" t="0" r="10795" b="17145"/>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embed="rId6"/>
                          <a:stretch>
                            <a:fillRect/>
                          </a:stretch>
                        </pic:blipFill>
                        <pic:spPr>
                          <a:xfrm>
                            <a:off x="0" y="0"/>
                            <a:ext cx="1227455" cy="363855"/>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类型</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高校学生 （含毕业生）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技工院校学生（含毕业生）</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留学归国人员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去产能转  岗职工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退役军人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返乡农民工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残疾人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企事业单位科研或管理人员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报名参赛项目第一创始人数量</w:t>
            </w:r>
          </w:p>
        </w:tc>
        <w:tc>
          <w:tcPr>
            <w:tcW w:w="9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报名且通过资格审核项目第一创始人数量</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116" w:type="dxa"/>
            <w:gridSpan w:val="11"/>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Times New Roman" w:hAnsi="Times New Roman" w:eastAsia="仿宋_GB2312"/>
                <w:b/>
                <w:color w:val="000000"/>
                <w:kern w:val="0"/>
                <w:sz w:val="22"/>
                <w:szCs w:val="22"/>
                <w:lang w:val="en-US" w:eastAsia="zh-CN" w:bidi="ar"/>
              </w:rPr>
              <w:t>参赛项目所属领域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000" w:firstLineChars="500"/>
              <w:jc w:val="left"/>
              <w:textAlignment w:val="center"/>
              <w:rPr>
                <w:rFonts w:hint="eastAsia" w:ascii="仿宋_GB2312" w:hAnsi="仿宋_GB2312" w:eastAsia="仿宋_GB2312" w:cs="仿宋_GB2312"/>
                <w:b w:val="0"/>
                <w:bCs w:val="0"/>
                <w:i w:val="0"/>
                <w:iCs w:val="0"/>
                <w:color w:val="000000"/>
                <w:kern w:val="0"/>
                <w:sz w:val="20"/>
                <w:szCs w:val="20"/>
                <w:highlight w:val="none"/>
                <w:u w:val="none"/>
                <w:lang w:val="en-US" w:eastAsia="zh-CN" w:bidi="ar"/>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所属领域</w:t>
            </w:r>
            <w:r>
              <w:rPr>
                <w:rFonts w:hint="eastAsia" w:ascii="仿宋_GB2312" w:hAnsi="仿宋_GB2312" w:eastAsia="仿宋_GB2312" w:cs="仿宋_GB2312"/>
                <w:b w:val="0"/>
                <w:bCs w:val="0"/>
                <w:i w:val="0"/>
                <w:iCs w:val="0"/>
                <w:color w:val="000000"/>
                <w:kern w:val="0"/>
                <w:sz w:val="20"/>
                <w:szCs w:val="20"/>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-25400</wp:posOffset>
                  </wp:positionH>
                  <wp:positionV relativeFrom="paragraph">
                    <wp:posOffset>83820</wp:posOffset>
                  </wp:positionV>
                  <wp:extent cx="1238885" cy="294640"/>
                  <wp:effectExtent l="0" t="0" r="18415" b="10160"/>
                  <wp:wrapNone/>
                  <wp:docPr id="8" name="直接连接符_1"/>
                  <wp:cNvGraphicFramePr/>
                  <a:graphic xmlns:a="http://schemas.openxmlformats.org/drawingml/2006/main">
                    <a:graphicData uri="http://schemas.openxmlformats.org/drawingml/2006/picture">
                      <pic:pic xmlns:pic="http://schemas.openxmlformats.org/drawingml/2006/picture">
                        <pic:nvPicPr>
                          <pic:cNvPr id="8" name="直接连接符_1"/>
                          <pic:cNvPicPr/>
                        </pic:nvPicPr>
                        <pic:blipFill>
                          <a:blip r:embed="rId7"/>
                          <a:stretch>
                            <a:fillRect/>
                          </a:stretch>
                        </pic:blipFill>
                        <pic:spPr>
                          <a:xfrm>
                            <a:off x="0" y="0"/>
                            <a:ext cx="1238885" cy="294640"/>
                          </a:xfrm>
                          <a:prstGeom prst="rect">
                            <a:avLst/>
                          </a:prstGeom>
                          <a:noFill/>
                          <a:ln>
                            <a:noFill/>
                          </a:ln>
                        </pic:spPr>
                      </pic:pic>
                    </a:graphicData>
                  </a:graphic>
                </wp:anchor>
              </w:drawing>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新材料新能源</w:t>
            </w:r>
          </w:p>
        </w:tc>
        <w:tc>
          <w:tcPr>
            <w:tcW w:w="10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装备制造</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医疗健康</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互联网TMT</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文化创意</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现代服务业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人工智能</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现代农业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auto"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各领域报名参赛项目数量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各领域报名且通过资格审项目数量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bl>
    <w:p>
      <w:pPr>
        <w:widowControl w:val="0"/>
        <w:jc w:val="both"/>
        <w:rPr>
          <w:rFonts w:hint="eastAsia" w:ascii="仿宋" w:hAnsi="仿宋" w:eastAsia="仿宋" w:cs="Times New Roman"/>
          <w:color w:val="000000"/>
          <w:kern w:val="2"/>
          <w:sz w:val="30"/>
          <w:szCs w:val="30"/>
          <w:highlight w:val="none"/>
          <w:lang w:val="en-US" w:eastAsia="zh-CN" w:bidi="ar-SA"/>
        </w:rPr>
      </w:pPr>
    </w:p>
    <w:tbl>
      <w:tblPr>
        <w:tblStyle w:val="5"/>
        <w:tblW w:w="13397" w:type="dxa"/>
        <w:jc w:val="center"/>
        <w:tblLayout w:type="fixed"/>
        <w:tblCellMar>
          <w:top w:w="0" w:type="dxa"/>
          <w:left w:w="0" w:type="dxa"/>
          <w:bottom w:w="0" w:type="dxa"/>
          <w:right w:w="0" w:type="dxa"/>
        </w:tblCellMar>
      </w:tblPr>
      <w:tblGrid>
        <w:gridCol w:w="2716"/>
        <w:gridCol w:w="123"/>
        <w:gridCol w:w="1038"/>
        <w:gridCol w:w="2813"/>
        <w:gridCol w:w="1961"/>
        <w:gridCol w:w="1701"/>
        <w:gridCol w:w="644"/>
        <w:gridCol w:w="710"/>
        <w:gridCol w:w="1691"/>
      </w:tblGrid>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b/>
                <w:color w:val="000000"/>
                <w:sz w:val="28"/>
                <w:szCs w:val="28"/>
                <w:lang w:eastAsia="zh-CN"/>
              </w:rPr>
            </w:pPr>
            <w:r>
              <w:rPr>
                <w:rFonts w:hint="eastAsia" w:ascii="Times New Roman" w:hAnsi="Times New Roman" w:eastAsia="仿宋_GB2312"/>
                <w:b/>
                <w:color w:val="000000"/>
                <w:kern w:val="0"/>
                <w:sz w:val="22"/>
                <w:szCs w:val="22"/>
                <w:lang w:bidi="ar"/>
              </w:rPr>
              <w:t>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b/>
                <w:color w:val="000000"/>
                <w:sz w:val="22"/>
                <w:szCs w:val="22"/>
              </w:rPr>
            </w:pPr>
            <w:r>
              <w:rPr>
                <w:rFonts w:ascii="Times New Roman" w:hAnsi="Times New Roman" w:eastAsia="仿宋_GB2312"/>
                <w:b/>
                <w:color w:val="000000"/>
                <w:kern w:val="0"/>
                <w:sz w:val="22"/>
                <w:szCs w:val="22"/>
                <w:lang w:bidi="ar"/>
              </w:rPr>
              <w:t>报名</w:t>
            </w:r>
            <w:r>
              <w:rPr>
                <w:rFonts w:hint="eastAsia" w:ascii="Times New Roman" w:hAnsi="Times New Roman" w:eastAsia="仿宋_GB2312"/>
                <w:b/>
                <w:color w:val="000000"/>
                <w:kern w:val="0"/>
                <w:sz w:val="22"/>
                <w:szCs w:val="22"/>
                <w:lang w:bidi="ar"/>
              </w:rPr>
              <w:t>并通过审核的项目总数</w:t>
            </w:r>
          </w:p>
        </w:tc>
        <w:tc>
          <w:tcPr>
            <w:tcW w:w="10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b/>
                <w:color w:val="000000"/>
                <w:sz w:val="28"/>
                <w:szCs w:val="28"/>
              </w:rPr>
            </w:pPr>
          </w:p>
        </w:tc>
      </w:tr>
      <w:tr>
        <w:tblPrEx>
          <w:tblCellMar>
            <w:top w:w="0" w:type="dxa"/>
            <w:left w:w="0" w:type="dxa"/>
            <w:bottom w:w="0" w:type="dxa"/>
            <w:right w:w="0" w:type="dxa"/>
          </w:tblCellMar>
        </w:tblPrEx>
        <w:trPr>
          <w:trHeight w:val="706"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其中：主体赛制造业项目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3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主体赛服务业项目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青年创意专项赛数量</w:t>
            </w:r>
          </w:p>
        </w:tc>
        <w:tc>
          <w:tcPr>
            <w:tcW w:w="10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281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劳务品牌专项赛数量</w:t>
            </w:r>
          </w:p>
        </w:tc>
        <w:tc>
          <w:tcPr>
            <w:tcW w:w="19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c>
          <w:tcPr>
            <w:tcW w:w="305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乡村振兴专项赛数量</w:t>
            </w:r>
          </w:p>
        </w:tc>
        <w:tc>
          <w:tcPr>
            <w:tcW w:w="169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8"/>
                <w:szCs w:val="28"/>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主体赛制造业项目</w:t>
            </w:r>
            <w:r>
              <w:rPr>
                <w:rFonts w:ascii="Times New Roman" w:hAnsi="Times New Roman" w:eastAsia="仿宋_GB2312"/>
                <w:b/>
                <w:color w:val="000000"/>
                <w:kern w:val="0"/>
                <w:sz w:val="22"/>
                <w:szCs w:val="22"/>
                <w:lang w:bidi="ar"/>
              </w:rPr>
              <w:t>组</w:t>
            </w:r>
            <w:r>
              <w:rPr>
                <w:rFonts w:hint="eastAsia" w:ascii="Times New Roman" w:hAnsi="Times New Roman" w:eastAsia="仿宋_GB2312"/>
                <w:b/>
                <w:color w:val="000000"/>
                <w:kern w:val="0"/>
                <w:sz w:val="22"/>
                <w:szCs w:val="22"/>
                <w:lang w:bidi="ar"/>
              </w:rPr>
              <w:t>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主体赛服务业项目组报名并通过审核的项目清单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青年创意专项赛报名并通过审核的项目清单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劳务品牌专项赛报名并通过审核的项目清单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乡村振兴专项赛报名并通过审核的项目清单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bl>
    <w:p>
      <w:pPr>
        <w:pStyle w:val="4"/>
        <w:widowControl/>
        <w:spacing w:line="555" w:lineRule="atLeast"/>
        <w:rPr>
          <w:rFonts w:hint="eastAsia" w:ascii="宋体" w:hAnsi="宋体" w:cs="宋体"/>
          <w:color w:val="000000"/>
          <w:sz w:val="31"/>
          <w:szCs w:val="31"/>
        </w:rPr>
      </w:pPr>
    </w:p>
    <w:p>
      <w:bookmarkStart w:id="2" w:name="_GoBack"/>
      <w:bookmarkEnd w:id="2"/>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星标宋">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A0F91"/>
    <w:rsid w:val="349A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2022-03-16T02:50:00Z</dcterms:created>
  <dc:creator>四驱小蜗牛</dc:creator>
  <cp:lastModifiedBy>四驱小蜗牛</cp:lastModifiedBy>
  <dcterms:modified xsi:type="dcterms:W3CDTF">2022-03-16T02:51:25Z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A727DE56787C43EA8850AFC13A6D0AF4</vt:lpwstr>
  </property>
</Properties>
</file>